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B4DFD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b/>
          <w:bCs/>
          <w:sz w:val="24"/>
          <w:szCs w:val="24"/>
          <w:lang w:val="mk-MK"/>
        </w:rPr>
      </w:pPr>
      <w:r w:rsidRPr="001F4107">
        <w:rPr>
          <w:rFonts w:eastAsia="Times New Roman" w:cstheme="minorHAnsi"/>
          <w:b/>
          <w:sz w:val="24"/>
          <w:szCs w:val="24"/>
          <w:lang w:val="mk-MK"/>
        </w:rPr>
        <w:t xml:space="preserve">МИСЛЕЊЕ ЗА УПОПТРЕБА НА ИВЕРМЕКТИН КАЈ ПАЦИЕНТИ СО </w:t>
      </w:r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>COVID-19</w:t>
      </w:r>
    </w:p>
    <w:p w14:paraId="16ABD94D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b/>
          <w:sz w:val="24"/>
          <w:szCs w:val="24"/>
          <w:lang w:val="mk-MK"/>
        </w:rPr>
      </w:pPr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 xml:space="preserve">Од стручниот колегиум за ЈЗУ </w:t>
      </w:r>
      <w:proofErr w:type="spellStart"/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>Униоверзитетска</w:t>
      </w:r>
      <w:proofErr w:type="spellEnd"/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 xml:space="preserve"> клиника за пулмологија и алергологија и COVID-19 центрите при </w:t>
      </w:r>
      <w:proofErr w:type="spellStart"/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>интернистичкиот</w:t>
      </w:r>
      <w:proofErr w:type="spellEnd"/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 xml:space="preserve"> блок</w:t>
      </w:r>
      <w:r w:rsidRPr="001F4107">
        <w:rPr>
          <w:rFonts w:eastAsia="Times New Roman" w:cstheme="minorHAnsi"/>
          <w:b/>
          <w:sz w:val="24"/>
          <w:szCs w:val="24"/>
          <w:lang w:val="mk-MK"/>
        </w:rPr>
        <w:t xml:space="preserve"> </w:t>
      </w:r>
    </w:p>
    <w:p w14:paraId="59BC1226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sz w:val="24"/>
          <w:szCs w:val="24"/>
          <w:lang w:val="mk-MK"/>
        </w:rPr>
        <w:tab/>
      </w:r>
    </w:p>
    <w:p w14:paraId="1F1117F8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b/>
          <w:sz w:val="24"/>
          <w:szCs w:val="24"/>
          <w:lang w:val="mk-MK"/>
        </w:rPr>
      </w:pPr>
      <w:r w:rsidRPr="001F4107">
        <w:rPr>
          <w:rFonts w:eastAsia="Times New Roman" w:cstheme="minorHAnsi"/>
          <w:b/>
          <w:sz w:val="24"/>
          <w:szCs w:val="24"/>
          <w:lang w:val="mk-MK"/>
        </w:rPr>
        <w:t>Вовед</w:t>
      </w:r>
    </w:p>
    <w:p w14:paraId="6DD1489A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sz w:val="24"/>
          <w:szCs w:val="24"/>
          <w:lang w:val="mk-MK"/>
        </w:rPr>
        <w:tab/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е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антипаразитски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лек со широк спектар на делување, висока ефикасност и исклучително висока безбедност. За третирање на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онкоцеријаза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кај луѓе првпат е употребен во </w:t>
      </w:r>
      <w:hyperlink r:id="rId6" w:tgtFrame="_blank" w:history="1">
        <w:r w:rsidRPr="001F4107">
          <w:rPr>
            <w:rFonts w:eastAsia="Times New Roman" w:cstheme="minorHAnsi"/>
            <w:color w:val="C0392B"/>
            <w:sz w:val="24"/>
            <w:szCs w:val="24"/>
            <w:u w:val="single"/>
            <w:lang w:val="mk-MK"/>
          </w:rPr>
          <w:t>1987</w:t>
        </w:r>
      </w:hyperlink>
      <w:r w:rsidRPr="001F4107">
        <w:rPr>
          <w:rFonts w:eastAsia="Times New Roman" w:cstheme="minorHAnsi"/>
          <w:sz w:val="24"/>
          <w:szCs w:val="24"/>
          <w:lang w:val="mk-MK"/>
        </w:rPr>
        <w:t>. Во последните три децении, овој лек е препишан во 3,7 милијарди дози низ целиот свет. Се користи и за елиминирање на вошки на главата. Достапен е во повеќе форми – но за луѓето е дозволена само орална употреба.</w:t>
      </w:r>
    </w:p>
    <w:p w14:paraId="10DB2F0A" w14:textId="77777777" w:rsidR="001F4107" w:rsidRPr="001F4107" w:rsidRDefault="001F4107" w:rsidP="001F4107">
      <w:pPr>
        <w:spacing w:after="168"/>
        <w:ind w:firstLine="720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sz w:val="24"/>
          <w:szCs w:val="24"/>
          <w:lang w:val="mk-MK"/>
        </w:rPr>
        <w:t xml:space="preserve">Во последните неколку децении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се покажал мошне ефикасен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in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vitro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и против низа вируси како што се HIV,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денга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>, западно-нилски вирус и други РНК и ДНК вируси.</w:t>
      </w:r>
    </w:p>
    <w:p w14:paraId="43A8461C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  <w:lang w:val="mk-MK"/>
        </w:rPr>
      </w:pPr>
      <w:proofErr w:type="spellStart"/>
      <w:r w:rsidRPr="001F4107">
        <w:rPr>
          <w:rFonts w:eastAsia="Times New Roman" w:cstheme="minorHAnsi"/>
          <w:b/>
          <w:sz w:val="24"/>
          <w:szCs w:val="24"/>
          <w:lang w:val="mk-MK"/>
        </w:rPr>
        <w:t>Ивермектин</w:t>
      </w:r>
      <w:proofErr w:type="spellEnd"/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 xml:space="preserve"> против COVID-19?</w:t>
      </w:r>
    </w:p>
    <w:p w14:paraId="299671D8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sz w:val="24"/>
          <w:szCs w:val="24"/>
          <w:lang w:val="mk-MK"/>
        </w:rPr>
        <w:tab/>
        <w:t>Во април 2020 беше објавена </w:t>
      </w:r>
      <w:proofErr w:type="spellStart"/>
      <w:r w:rsidR="009B5282">
        <w:fldChar w:fldCharType="begin"/>
      </w:r>
      <w:r w:rsidR="009B5282">
        <w:instrText xml:space="preserve"> HYPERLINK "https://www.sciencedirect.com/science/article/pii/S0166354220302011?via%3Dihub" \t "_blank" </w:instrText>
      </w:r>
      <w:r w:rsidR="009B5282">
        <w:fldChar w:fldCharType="separate"/>
      </w:r>
      <w:r w:rsidRPr="001F4107">
        <w:rPr>
          <w:rFonts w:eastAsia="Times New Roman" w:cstheme="minorHAnsi"/>
          <w:color w:val="C0392B"/>
          <w:sz w:val="24"/>
          <w:szCs w:val="24"/>
          <w:u w:val="single"/>
          <w:lang w:val="mk-MK"/>
        </w:rPr>
        <w:t>in</w:t>
      </w:r>
      <w:proofErr w:type="spellEnd"/>
      <w:r w:rsidRPr="001F4107">
        <w:rPr>
          <w:rFonts w:eastAsia="Times New Roman" w:cstheme="minorHAnsi"/>
          <w:color w:val="C0392B"/>
          <w:sz w:val="24"/>
          <w:szCs w:val="24"/>
          <w:u w:val="single"/>
          <w:lang w:val="mk-MK"/>
        </w:rPr>
        <w:t xml:space="preserve"> </w:t>
      </w:r>
      <w:proofErr w:type="spellStart"/>
      <w:r w:rsidRPr="001F4107">
        <w:rPr>
          <w:rFonts w:eastAsia="Times New Roman" w:cstheme="minorHAnsi"/>
          <w:color w:val="C0392B"/>
          <w:sz w:val="24"/>
          <w:szCs w:val="24"/>
          <w:u w:val="single"/>
          <w:lang w:val="mk-MK"/>
        </w:rPr>
        <w:t>vitro</w:t>
      </w:r>
      <w:proofErr w:type="spellEnd"/>
      <w:r w:rsidRPr="001F4107">
        <w:rPr>
          <w:rFonts w:eastAsia="Times New Roman" w:cstheme="minorHAnsi"/>
          <w:color w:val="C0392B"/>
          <w:sz w:val="24"/>
          <w:szCs w:val="24"/>
          <w:u w:val="single"/>
          <w:lang w:val="mk-MK"/>
        </w:rPr>
        <w:t xml:space="preserve"> студија</w:t>
      </w:r>
      <w:r w:rsidR="009B5282">
        <w:rPr>
          <w:rFonts w:eastAsia="Times New Roman" w:cstheme="minorHAnsi"/>
          <w:color w:val="C0392B"/>
          <w:sz w:val="24"/>
          <w:szCs w:val="24"/>
          <w:u w:val="single"/>
          <w:lang w:val="mk-MK"/>
        </w:rPr>
        <w:fldChar w:fldCharType="end"/>
      </w:r>
      <w:r w:rsidRPr="001F4107">
        <w:rPr>
          <w:rFonts w:eastAsia="Times New Roman" w:cstheme="minorHAnsi"/>
          <w:sz w:val="24"/>
          <w:szCs w:val="24"/>
          <w:lang w:val="mk-MK"/>
        </w:rPr>
        <w:t xml:space="preserve"> спроведена во Универзитетот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Монаш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во Австралија.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Eднократна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доза на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аплицирана на култура од заразени клетки ја оневозможила репликацијата на SARS-CoV-2 и вирусната РНК во клетките била намалена за 5.000 пати (99,98%) во рок од 48 часа. Исто така, не била забележана токсичност од дејството на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>. </w:t>
      </w:r>
    </w:p>
    <w:p w14:paraId="0B9A44DD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sz w:val="24"/>
          <w:szCs w:val="24"/>
          <w:lang w:val="mk-MK"/>
        </w:rPr>
        <w:tab/>
        <w:t>Таа беше повод да се започнат </w:t>
      </w:r>
      <w:hyperlink r:id="rId7" w:tgtFrame="_blank" w:history="1">
        <w:r w:rsidRPr="001F4107">
          <w:rPr>
            <w:rFonts w:eastAsia="Times New Roman" w:cstheme="minorHAnsi"/>
            <w:color w:val="C0392B"/>
            <w:sz w:val="24"/>
            <w:szCs w:val="24"/>
            <w:u w:val="single"/>
            <w:lang w:val="mk-MK"/>
          </w:rPr>
          <w:t>повеќе студии</w:t>
        </w:r>
      </w:hyperlink>
      <w:r w:rsidRPr="001F4107">
        <w:rPr>
          <w:rFonts w:eastAsia="Times New Roman" w:cstheme="minorHAnsi"/>
          <w:sz w:val="24"/>
          <w:szCs w:val="24"/>
          <w:lang w:val="mk-MK"/>
        </w:rPr>
        <w:t xml:space="preserve"> чија цел е да ја испитаат можноста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да се користи како лек и превентива од новиот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коронавирус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>. Од почетокот на мај во неколку држави во </w:t>
      </w:r>
      <w:hyperlink r:id="rId8" w:tgtFrame="_blank" w:history="1">
        <w:r w:rsidRPr="001F4107">
          <w:rPr>
            <w:rFonts w:eastAsia="Times New Roman" w:cstheme="minorHAnsi"/>
            <w:color w:val="C0392B"/>
            <w:sz w:val="24"/>
            <w:szCs w:val="24"/>
            <w:u w:val="single"/>
            <w:lang w:val="mk-MK"/>
          </w:rPr>
          <w:t>Јужна Америка</w:t>
        </w:r>
      </w:hyperlink>
      <w:r w:rsidRPr="001F4107">
        <w:rPr>
          <w:rFonts w:eastAsia="Times New Roman" w:cstheme="minorHAnsi"/>
          <w:sz w:val="24"/>
          <w:szCs w:val="24"/>
          <w:lang w:val="mk-MK"/>
        </w:rPr>
        <w:t xml:space="preserve"> (Перу, Боливија и др.), лекарите го препишуваат масовно </w:t>
      </w:r>
      <w:proofErr w:type="spellStart"/>
      <w:r w:rsidRPr="001F4107">
        <w:rPr>
          <w:rFonts w:eastAsia="Times New Roman" w:cstheme="minorHAnsi"/>
          <w:b/>
          <w:sz w:val="24"/>
          <w:szCs w:val="24"/>
          <w:lang w:val="mk-MK"/>
        </w:rPr>
        <w:t>off-label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за третирање на COVID-19. Иако стигнуваат извештаи за успешно лечење, недостасува прецизно документирање и систематизирање на резултатите за да може веродостојно да се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квантифицира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ефектот.</w:t>
      </w:r>
    </w:p>
    <w:p w14:paraId="38507A26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sz w:val="24"/>
          <w:szCs w:val="24"/>
          <w:lang w:val="mk-MK"/>
        </w:rPr>
        <w:t> </w:t>
      </w:r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 xml:space="preserve">Механизам на дејство на </w:t>
      </w:r>
      <w:proofErr w:type="spellStart"/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>ивермектин</w:t>
      </w:r>
      <w:proofErr w:type="spellEnd"/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 xml:space="preserve"> против SARS-CoV-2</w:t>
      </w:r>
    </w:p>
    <w:p w14:paraId="026ACF90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sz w:val="24"/>
          <w:szCs w:val="24"/>
          <w:lang w:val="mk-MK"/>
        </w:rPr>
        <w:tab/>
        <w:t xml:space="preserve">Во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Scientia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Pharmaceutica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>, журнал на Австриското фармацевтско друштво, беше објавен </w:t>
      </w:r>
      <w:hyperlink r:id="rId9" w:tgtFrame="_blank" w:history="1">
        <w:r w:rsidRPr="001F4107">
          <w:rPr>
            <w:rFonts w:eastAsia="Times New Roman" w:cstheme="minorHAnsi"/>
            <w:color w:val="C0392B"/>
            <w:sz w:val="24"/>
            <w:szCs w:val="24"/>
            <w:u w:val="single"/>
            <w:lang w:val="mk-MK"/>
          </w:rPr>
          <w:t>труд</w:t>
        </w:r>
      </w:hyperlink>
      <w:r w:rsidRPr="001F4107">
        <w:rPr>
          <w:rFonts w:eastAsia="Times New Roman" w:cstheme="minorHAnsi"/>
          <w:sz w:val="24"/>
          <w:szCs w:val="24"/>
          <w:lang w:val="mk-MK"/>
        </w:rPr>
        <w:t xml:space="preserve"> во којшто се објаснува најверојатниот антивирусен механизам на дејствување. Во нормален случај, SARS-CoV-2 протеинот се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транслоцира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во јадрото на клетката со помош на неговиот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импортин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>-</w:t>
      </w:r>
      <w:r w:rsidRPr="001F4107">
        <w:rPr>
          <w:rFonts w:eastAsia="Times New Roman" w:cstheme="minorHAnsi"/>
          <w:sz w:val="24"/>
          <w:szCs w:val="24"/>
        </w:rPr>
        <w:t>α</w:t>
      </w:r>
      <w:r w:rsidRPr="001F4107">
        <w:rPr>
          <w:rFonts w:eastAsia="Times New Roman" w:cstheme="minorHAnsi"/>
          <w:sz w:val="24"/>
          <w:szCs w:val="24"/>
          <w:lang w:val="mk-MK"/>
        </w:rPr>
        <w:t xml:space="preserve"> (IMP-</w:t>
      </w:r>
      <w:r w:rsidRPr="001F4107">
        <w:rPr>
          <w:rFonts w:eastAsia="Times New Roman" w:cstheme="minorHAnsi"/>
          <w:sz w:val="24"/>
          <w:szCs w:val="24"/>
        </w:rPr>
        <w:t>α</w:t>
      </w:r>
      <w:r w:rsidRPr="001F4107">
        <w:rPr>
          <w:rFonts w:eastAsia="Times New Roman" w:cstheme="minorHAnsi"/>
          <w:sz w:val="24"/>
          <w:szCs w:val="24"/>
          <w:lang w:val="mk-MK"/>
        </w:rPr>
        <w:t xml:space="preserve">) и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importin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>-</w:t>
      </w:r>
      <w:r w:rsidRPr="001F4107">
        <w:rPr>
          <w:rFonts w:eastAsia="Times New Roman" w:cstheme="minorHAnsi"/>
          <w:sz w:val="24"/>
          <w:szCs w:val="24"/>
        </w:rPr>
        <w:t>β</w:t>
      </w:r>
      <w:r w:rsidRPr="001F4107">
        <w:rPr>
          <w:rFonts w:eastAsia="Times New Roman" w:cstheme="minorHAnsi"/>
          <w:sz w:val="24"/>
          <w:szCs w:val="24"/>
          <w:lang w:val="mk-MK"/>
        </w:rPr>
        <w:t xml:space="preserve"> (IMP-</w:t>
      </w:r>
      <w:r w:rsidRPr="001F4107">
        <w:rPr>
          <w:rFonts w:eastAsia="Times New Roman" w:cstheme="minorHAnsi"/>
          <w:sz w:val="24"/>
          <w:szCs w:val="24"/>
        </w:rPr>
        <w:t>β</w:t>
      </w:r>
      <w:r w:rsidRPr="001F4107">
        <w:rPr>
          <w:rFonts w:eastAsia="Times New Roman" w:cstheme="minorHAnsi"/>
          <w:sz w:val="24"/>
          <w:szCs w:val="24"/>
          <w:lang w:val="mk-MK"/>
        </w:rPr>
        <w:t xml:space="preserve">)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хетеродимер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>. Штом навлезе во јадрото, SARS-CoV-2 протеинот се ослободува од IMP-</w:t>
      </w:r>
      <w:r w:rsidRPr="001F4107">
        <w:rPr>
          <w:rFonts w:eastAsia="Times New Roman" w:cstheme="minorHAnsi"/>
          <w:sz w:val="24"/>
          <w:szCs w:val="24"/>
        </w:rPr>
        <w:t>α</w:t>
      </w:r>
      <w:r w:rsidRPr="001F4107">
        <w:rPr>
          <w:rFonts w:eastAsia="Times New Roman" w:cstheme="minorHAnsi"/>
          <w:sz w:val="24"/>
          <w:szCs w:val="24"/>
          <w:lang w:val="mk-MK"/>
        </w:rPr>
        <w:t>/</w:t>
      </w:r>
      <w:r w:rsidRPr="001F4107">
        <w:rPr>
          <w:rFonts w:eastAsia="Times New Roman" w:cstheme="minorHAnsi"/>
          <w:sz w:val="24"/>
          <w:szCs w:val="24"/>
        </w:rPr>
        <w:t>β</w:t>
      </w:r>
      <w:r w:rsidRPr="001F4107">
        <w:rPr>
          <w:rFonts w:eastAsia="Times New Roman" w:cstheme="minorHAnsi"/>
          <w:sz w:val="24"/>
          <w:szCs w:val="24"/>
          <w:lang w:val="mk-MK"/>
        </w:rPr>
        <w:t xml:space="preserve"> комплексот. Овој протеин промовира ефективно исклучување на </w:t>
      </w:r>
      <w:proofErr w:type="spellStart"/>
      <w:r>
        <w:rPr>
          <w:rFonts w:eastAsia="Times New Roman" w:cstheme="minorHAnsi"/>
          <w:sz w:val="24"/>
          <w:szCs w:val="24"/>
          <w:lang w:val="mk-MK"/>
        </w:rPr>
        <w:t>анти</w:t>
      </w:r>
      <w:proofErr w:type="spellEnd"/>
      <w:r>
        <w:rPr>
          <w:rFonts w:eastAsia="Times New Roman" w:cstheme="minorHAnsi"/>
          <w:sz w:val="24"/>
          <w:szCs w:val="24"/>
          <w:lang w:val="mk-MK"/>
        </w:rPr>
        <w:t xml:space="preserve">-вирусните </w:t>
      </w:r>
      <w:proofErr w:type="spellStart"/>
      <w:r>
        <w:rPr>
          <w:rFonts w:eastAsia="Times New Roman" w:cstheme="minorHAnsi"/>
          <w:sz w:val="24"/>
          <w:szCs w:val="24"/>
          <w:lang w:val="mk-MK"/>
        </w:rPr>
        <w:t>одбрамбени</w:t>
      </w:r>
      <w:proofErr w:type="spellEnd"/>
      <w:r>
        <w:rPr>
          <w:rFonts w:eastAsia="Times New Roman" w:cstheme="minorHAnsi"/>
          <w:sz w:val="24"/>
          <w:szCs w:val="24"/>
          <w:lang w:val="mk-MK"/>
        </w:rPr>
        <w:t xml:space="preserve"> механизми на </w:t>
      </w:r>
      <w:r w:rsidRPr="001F4107">
        <w:rPr>
          <w:rFonts w:eastAsia="Times New Roman" w:cstheme="minorHAnsi"/>
          <w:sz w:val="24"/>
          <w:szCs w:val="24"/>
          <w:lang w:val="mk-MK"/>
        </w:rPr>
        <w:t xml:space="preserve">домаќинот што води до редукција на имунолошкиот одговор овозможувајќи му на вирусот да се реплицира.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ја спречува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транслокацијата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на протеинот во јадрото преку врзување со IMP-</w:t>
      </w:r>
      <w:r w:rsidRPr="001F4107">
        <w:rPr>
          <w:rFonts w:eastAsia="Times New Roman" w:cstheme="minorHAnsi"/>
          <w:sz w:val="24"/>
          <w:szCs w:val="24"/>
        </w:rPr>
        <w:t>α</w:t>
      </w:r>
      <w:r w:rsidRPr="001F4107">
        <w:rPr>
          <w:rFonts w:eastAsia="Times New Roman" w:cstheme="minorHAnsi"/>
          <w:sz w:val="24"/>
          <w:szCs w:val="24"/>
          <w:lang w:val="mk-MK"/>
        </w:rPr>
        <w:t>/</w:t>
      </w:r>
      <w:r w:rsidRPr="001F4107">
        <w:rPr>
          <w:rFonts w:eastAsia="Times New Roman" w:cstheme="minorHAnsi"/>
          <w:sz w:val="24"/>
          <w:szCs w:val="24"/>
        </w:rPr>
        <w:t>β</w:t>
      </w:r>
      <w:r w:rsidRPr="001F4107">
        <w:rPr>
          <w:rFonts w:eastAsia="Times New Roman" w:cstheme="minorHAnsi"/>
          <w:sz w:val="24"/>
          <w:szCs w:val="24"/>
          <w:lang w:val="mk-MK"/>
        </w:rPr>
        <w:t xml:space="preserve"> комплексот и дестабилизирање на IMP-</w:t>
      </w:r>
      <w:r w:rsidRPr="001F4107">
        <w:rPr>
          <w:rFonts w:eastAsia="Times New Roman" w:cstheme="minorHAnsi"/>
          <w:sz w:val="24"/>
          <w:szCs w:val="24"/>
        </w:rPr>
        <w:t>α</w:t>
      </w:r>
      <w:r w:rsidRPr="001F4107">
        <w:rPr>
          <w:rFonts w:eastAsia="Times New Roman" w:cstheme="minorHAnsi"/>
          <w:sz w:val="24"/>
          <w:szCs w:val="24"/>
          <w:lang w:val="mk-MK"/>
        </w:rPr>
        <w:t>/</w:t>
      </w:r>
      <w:r w:rsidRPr="001F4107">
        <w:rPr>
          <w:rFonts w:eastAsia="Times New Roman" w:cstheme="minorHAnsi"/>
          <w:sz w:val="24"/>
          <w:szCs w:val="24"/>
        </w:rPr>
        <w:t>β</w:t>
      </w:r>
      <w:r w:rsidRPr="001F4107">
        <w:rPr>
          <w:rFonts w:eastAsia="Times New Roman" w:cstheme="minorHAnsi"/>
          <w:sz w:val="24"/>
          <w:szCs w:val="24"/>
          <w:lang w:val="mk-MK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хетеродимерот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>. Најверојатно, овој механизам му помага на имунолошкиот систем да реагира ефикасно против вирусот. Слично објаснување е дадено и во </w:t>
      </w:r>
      <w:hyperlink r:id="rId10" w:tgtFrame="_blank" w:history="1">
        <w:r w:rsidRPr="001F4107">
          <w:rPr>
            <w:rFonts w:eastAsia="Times New Roman" w:cstheme="minorHAnsi"/>
            <w:color w:val="C0392B"/>
            <w:sz w:val="24"/>
            <w:szCs w:val="24"/>
            <w:u w:val="single"/>
            <w:lang w:val="mk-MK"/>
          </w:rPr>
          <w:t>овој труд</w:t>
        </w:r>
      </w:hyperlink>
      <w:r w:rsidRPr="001F4107">
        <w:rPr>
          <w:rFonts w:eastAsia="Times New Roman" w:cstheme="minorHAnsi"/>
          <w:sz w:val="24"/>
          <w:szCs w:val="24"/>
          <w:lang w:val="mk-MK"/>
        </w:rPr>
        <w:t> објавен во мај годинава.</w:t>
      </w:r>
    </w:p>
    <w:p w14:paraId="56A96CED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sz w:val="24"/>
          <w:szCs w:val="24"/>
          <w:lang w:val="mk-MK"/>
        </w:rPr>
        <w:t> </w:t>
      </w:r>
    </w:p>
    <w:p w14:paraId="3CC4A0FC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lastRenderedPageBreak/>
        <w:t xml:space="preserve">Меѓународни студии за </w:t>
      </w:r>
      <w:proofErr w:type="spellStart"/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>ивермектин</w:t>
      </w:r>
      <w:proofErr w:type="spellEnd"/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 xml:space="preserve"> против COVID-19</w:t>
      </w:r>
    </w:p>
    <w:p w14:paraId="5E60A8B4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b/>
          <w:bCs/>
          <w:sz w:val="24"/>
          <w:szCs w:val="24"/>
          <w:lang w:val="mk-MK"/>
        </w:rPr>
        <w:t>1)</w:t>
      </w:r>
      <w:r w:rsidRPr="001F4107">
        <w:rPr>
          <w:rFonts w:eastAsia="Times New Roman" w:cstheme="minorHAnsi"/>
          <w:sz w:val="24"/>
          <w:szCs w:val="24"/>
          <w:lang w:val="mk-MK"/>
        </w:rPr>
        <w:t> Кон средината на јули, објавена е </w:t>
      </w:r>
      <w:hyperlink r:id="rId11" w:tgtFrame="_blank" w:history="1">
        <w:r w:rsidRPr="001F4107">
          <w:rPr>
            <w:rFonts w:eastAsia="Times New Roman" w:cstheme="minorHAnsi"/>
            <w:color w:val="C0392B"/>
            <w:sz w:val="24"/>
            <w:szCs w:val="24"/>
            <w:u w:val="single"/>
            <w:lang w:val="mk-MK"/>
          </w:rPr>
          <w:t>прелиминарна студија</w:t>
        </w:r>
      </w:hyperlink>
      <w:r w:rsidRPr="001F4107">
        <w:rPr>
          <w:rFonts w:eastAsia="Times New Roman" w:cstheme="minorHAnsi"/>
          <w:sz w:val="24"/>
          <w:szCs w:val="24"/>
          <w:lang w:val="mk-MK"/>
        </w:rPr>
        <w:t xml:space="preserve"> во која пациенти со лесна до умерена клиничка слика на COVID-19 биле поделени по случаен избор во две групи:</w:t>
      </w:r>
    </w:p>
    <w:p w14:paraId="3D34F455" w14:textId="77777777" w:rsidR="001F4107" w:rsidRPr="001F4107" w:rsidRDefault="001F4107" w:rsidP="007E3C27">
      <w:pPr>
        <w:numPr>
          <w:ilvl w:val="0"/>
          <w:numId w:val="3"/>
        </w:numPr>
        <w:spacing w:after="108"/>
        <w:ind w:left="600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sz w:val="24"/>
          <w:szCs w:val="24"/>
          <w:lang w:val="mk-MK"/>
        </w:rPr>
        <w:t xml:space="preserve">Група А: третирана со еднократна доза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и со доксициклин 10 дена</w:t>
      </w:r>
    </w:p>
    <w:p w14:paraId="338E2CC8" w14:textId="77777777" w:rsidR="001F4107" w:rsidRPr="001F4107" w:rsidRDefault="001F4107" w:rsidP="007E3C27">
      <w:pPr>
        <w:numPr>
          <w:ilvl w:val="0"/>
          <w:numId w:val="3"/>
        </w:numPr>
        <w:spacing w:after="108"/>
        <w:ind w:left="600"/>
        <w:jc w:val="both"/>
        <w:rPr>
          <w:rFonts w:eastAsia="Times New Roman" w:cstheme="minorHAnsi"/>
          <w:sz w:val="24"/>
          <w:szCs w:val="24"/>
          <w:lang w:val="mk-MK"/>
        </w:rPr>
      </w:pPr>
      <w:r w:rsidRPr="001F4107">
        <w:rPr>
          <w:rFonts w:eastAsia="Times New Roman" w:cstheme="minorHAnsi"/>
          <w:sz w:val="24"/>
          <w:szCs w:val="24"/>
          <w:lang w:val="mk-MK"/>
        </w:rPr>
        <w:t xml:space="preserve">Група Б: третирана со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хидроксихлорохин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10 дена и со </w:t>
      </w:r>
      <w:proofErr w:type="spellStart"/>
      <w:r w:rsidRPr="001F4107">
        <w:rPr>
          <w:rFonts w:eastAsia="Times New Roman" w:cstheme="minorHAnsi"/>
          <w:sz w:val="24"/>
          <w:szCs w:val="24"/>
          <w:lang w:val="mk-MK"/>
        </w:rPr>
        <w:t>азитромицин</w:t>
      </w:r>
      <w:proofErr w:type="spellEnd"/>
      <w:r w:rsidRPr="001F4107">
        <w:rPr>
          <w:rFonts w:eastAsia="Times New Roman" w:cstheme="minorHAnsi"/>
          <w:sz w:val="24"/>
          <w:szCs w:val="24"/>
          <w:lang w:val="mk-MK"/>
        </w:rPr>
        <w:t xml:space="preserve"> 10 дена </w:t>
      </w:r>
    </w:p>
    <w:p w14:paraId="7058CE91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Резултати</w:t>
      </w:r>
      <w:proofErr w:type="spellEnd"/>
      <w:r w:rsidRPr="001F4107">
        <w:rPr>
          <w:rFonts w:eastAsia="Times New Roman" w:cstheme="minorHAnsi"/>
          <w:sz w:val="24"/>
          <w:szCs w:val="24"/>
        </w:rPr>
        <w:t>: </w:t>
      </w:r>
    </w:p>
    <w:p w14:paraId="19F98FAF" w14:textId="77777777" w:rsidR="001F4107" w:rsidRPr="001F4107" w:rsidRDefault="001F4107" w:rsidP="007E3C27">
      <w:pPr>
        <w:numPr>
          <w:ilvl w:val="0"/>
          <w:numId w:val="4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Сите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ивермектин-доксициклин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А) </w:t>
      </w:r>
      <w:proofErr w:type="spellStart"/>
      <w:r w:rsidRPr="001F4107">
        <w:rPr>
          <w:rFonts w:eastAsia="Times New Roman" w:cstheme="minorHAnsi"/>
          <w:sz w:val="24"/>
          <w:szCs w:val="24"/>
        </w:rPr>
        <w:t>имале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негативен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PCR </w:t>
      </w:r>
      <w:proofErr w:type="spellStart"/>
      <w:r w:rsidRPr="001F4107">
        <w:rPr>
          <w:rFonts w:eastAsia="Times New Roman" w:cstheme="minorHAnsi"/>
          <w:sz w:val="24"/>
          <w:szCs w:val="24"/>
        </w:rPr>
        <w:t>тест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просечно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8,93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сите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постигнале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опоравување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симптомите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просечно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5,93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F4107">
        <w:rPr>
          <w:rFonts w:eastAsia="Times New Roman" w:cstheme="minorHAnsi"/>
          <w:sz w:val="24"/>
          <w:szCs w:val="24"/>
        </w:rPr>
        <w:t>Повеќе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половината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без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симптоми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петтиот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1609DB8F" w14:textId="77777777" w:rsidR="001F4107" w:rsidRPr="001F4107" w:rsidRDefault="001F4107" w:rsidP="007E3C27">
      <w:pPr>
        <w:numPr>
          <w:ilvl w:val="0"/>
          <w:numId w:val="4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хидроксихлорохин-азитромицин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Б), 96,36%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негативни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просечно</w:t>
      </w:r>
      <w:proofErr w:type="spellEnd"/>
      <w:r w:rsidRPr="001F4107">
        <w:rPr>
          <w:rFonts w:eastAsia="Times New Roman" w:cstheme="minorHAnsi"/>
          <w:sz w:val="24"/>
          <w:szCs w:val="24"/>
        </w:rPr>
        <w:t> 9,33 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без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симптоми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6,99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1338AC28" w14:textId="77777777" w:rsidR="001F4107" w:rsidRPr="001F4107" w:rsidRDefault="001F4107" w:rsidP="007E3C27">
      <w:pPr>
        <w:numPr>
          <w:ilvl w:val="0"/>
          <w:numId w:val="4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А </w:t>
      </w:r>
      <w:proofErr w:type="spellStart"/>
      <w:r w:rsidRPr="001F4107">
        <w:rPr>
          <w:rFonts w:eastAsia="Times New Roman" w:cstheme="minorHAnsi"/>
          <w:sz w:val="24"/>
          <w:szCs w:val="24"/>
        </w:rPr>
        <w:t>имала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помалку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споредни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ефекти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однос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Б. </w:t>
      </w:r>
      <w:proofErr w:type="spellStart"/>
      <w:r w:rsidRPr="001F4107">
        <w:rPr>
          <w:rFonts w:eastAsia="Times New Roman" w:cstheme="minorHAnsi"/>
          <w:sz w:val="24"/>
          <w:szCs w:val="24"/>
        </w:rPr>
        <w:t>Споредните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ефекти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вклучувале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летаргија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F4107">
        <w:rPr>
          <w:rFonts w:eastAsia="Times New Roman" w:cstheme="minorHAnsi"/>
          <w:sz w:val="24"/>
          <w:szCs w:val="24"/>
        </w:rPr>
        <w:t>гадење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повремена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вртоглавица</w:t>
      </w:r>
      <w:proofErr w:type="spellEnd"/>
      <w:r w:rsidRPr="001F4107">
        <w:rPr>
          <w:rFonts w:eastAsia="Times New Roman" w:cstheme="minorHAnsi"/>
          <w:sz w:val="24"/>
          <w:szCs w:val="24"/>
        </w:rPr>
        <w:t>. </w:t>
      </w:r>
    </w:p>
    <w:p w14:paraId="00313EA5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> </w:t>
      </w:r>
    </w:p>
    <w:p w14:paraId="7C3CF7AF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b/>
          <w:bCs/>
          <w:sz w:val="24"/>
          <w:szCs w:val="24"/>
        </w:rPr>
        <w:t>2)</w:t>
      </w:r>
      <w:r w:rsidRPr="001F4107">
        <w:rPr>
          <w:rFonts w:eastAsia="Times New Roman" w:cstheme="minorHAnsi"/>
          <w:sz w:val="24"/>
          <w:szCs w:val="24"/>
        </w:rPr>
        <w:t> 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јулското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издание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> </w:t>
      </w:r>
      <w:hyperlink r:id="rId12" w:tgtFrame="_blank" w:history="1"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 xml:space="preserve">Journal of Bangladesh College of Physicians е </w:t>
        </w:r>
        <w:proofErr w:type="spellStart"/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>објавен</w:t>
        </w:r>
        <w:proofErr w:type="spellEnd"/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 xml:space="preserve"> </w:t>
        </w:r>
        <w:proofErr w:type="spellStart"/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>труд</w:t>
        </w:r>
        <w:proofErr w:type="spellEnd"/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 xml:space="preserve"> </w:t>
        </w:r>
        <w:proofErr w:type="spellStart"/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>со</w:t>
        </w:r>
        <w:proofErr w:type="spellEnd"/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 xml:space="preserve"> </w:t>
        </w:r>
        <w:proofErr w:type="spellStart"/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>наслов</w:t>
        </w:r>
        <w:proofErr w:type="spellEnd"/>
      </w:hyperlink>
      <w:r w:rsidRPr="001F4107">
        <w:rPr>
          <w:rFonts w:eastAsia="Times New Roman" w:cstheme="minorHAnsi"/>
          <w:sz w:val="24"/>
          <w:szCs w:val="24"/>
        </w:rPr>
        <w:t> </w:t>
      </w:r>
      <w:hyperlink r:id="rId13" w:tgtFrame="_blank" w:history="1"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>“A Case Series of 100 COVID-19 Positive Patients Treated with a Combination of Ivermectin and Doxycycline”</w:t>
        </w:r>
      </w:hyperlink>
      <w:r w:rsidRPr="001F4107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F4107">
        <w:rPr>
          <w:rFonts w:eastAsia="Times New Roman" w:cstheme="minorHAnsi"/>
          <w:sz w:val="24"/>
          <w:szCs w:val="24"/>
        </w:rPr>
        <w:t>Студијата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опфатила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100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што</w:t>
      </w:r>
      <w:proofErr w:type="spellEnd"/>
      <w:r w:rsidRPr="001F4107">
        <w:rPr>
          <w:rFonts w:eastAsia="Times New Roman" w:cstheme="minorHAnsi"/>
          <w:sz w:val="24"/>
          <w:szCs w:val="24"/>
        </w:rPr>
        <w:t>:</w:t>
      </w:r>
    </w:p>
    <w:p w14:paraId="49F6FA2C" w14:textId="77777777" w:rsidR="001F4107" w:rsidRPr="001F4107" w:rsidRDefault="001F4107" w:rsidP="007E3C27">
      <w:pPr>
        <w:numPr>
          <w:ilvl w:val="0"/>
          <w:numId w:val="5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 xml:space="preserve">73 </w:t>
      </w:r>
      <w:proofErr w:type="spellStart"/>
      <w:r w:rsidRPr="001F4107">
        <w:rPr>
          <w:rFonts w:eastAsia="Times New Roman" w:cstheme="minorHAnsi"/>
          <w:sz w:val="24"/>
          <w:szCs w:val="24"/>
        </w:rPr>
        <w:t>лесни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20 </w:t>
      </w:r>
      <w:proofErr w:type="spellStart"/>
      <w:r w:rsidRPr="001F4107">
        <w:rPr>
          <w:rFonts w:eastAsia="Times New Roman" w:cstheme="minorHAnsi"/>
          <w:sz w:val="24"/>
          <w:szCs w:val="24"/>
        </w:rPr>
        <w:t>умерени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7 </w:t>
      </w:r>
      <w:proofErr w:type="spellStart"/>
      <w:r w:rsidRPr="001F4107">
        <w:rPr>
          <w:rFonts w:eastAsia="Times New Roman" w:cstheme="minorHAnsi"/>
          <w:sz w:val="24"/>
          <w:szCs w:val="24"/>
        </w:rPr>
        <w:t>тешки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случаи</w:t>
      </w:r>
      <w:proofErr w:type="spellEnd"/>
    </w:p>
    <w:p w14:paraId="22E84D1E" w14:textId="77777777" w:rsidR="001F4107" w:rsidRPr="001F4107" w:rsidRDefault="001F4107" w:rsidP="007E3C27">
      <w:pPr>
        <w:numPr>
          <w:ilvl w:val="0"/>
          <w:numId w:val="5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Возраст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: 8 - 84 </w:t>
      </w:r>
      <w:proofErr w:type="spellStart"/>
      <w:r w:rsidRPr="001F4107">
        <w:rPr>
          <w:rFonts w:eastAsia="Times New Roman" w:cstheme="minorHAnsi"/>
          <w:sz w:val="24"/>
          <w:szCs w:val="24"/>
        </w:rPr>
        <w:t>години</w:t>
      </w:r>
      <w:proofErr w:type="spellEnd"/>
      <w:r w:rsidRPr="001F4107">
        <w:rPr>
          <w:rFonts w:eastAsia="Times New Roman" w:cstheme="minorHAnsi"/>
          <w:sz w:val="24"/>
          <w:szCs w:val="24"/>
        </w:rPr>
        <w:t> </w:t>
      </w:r>
    </w:p>
    <w:p w14:paraId="44E3374A" w14:textId="77777777" w:rsidR="001F4107" w:rsidRPr="001F4107" w:rsidRDefault="001F4107" w:rsidP="007E3C27">
      <w:pPr>
        <w:numPr>
          <w:ilvl w:val="0"/>
          <w:numId w:val="5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Домашна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терапија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1F4107">
        <w:rPr>
          <w:rFonts w:eastAsia="Times New Roman" w:cstheme="minorHAnsi"/>
          <w:sz w:val="24"/>
          <w:szCs w:val="24"/>
        </w:rPr>
        <w:t>една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доза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) + </w:t>
      </w:r>
      <w:proofErr w:type="spellStart"/>
      <w:r w:rsidRPr="001F4107">
        <w:rPr>
          <w:rFonts w:eastAsia="Times New Roman" w:cstheme="minorHAnsi"/>
          <w:sz w:val="24"/>
          <w:szCs w:val="24"/>
        </w:rPr>
        <w:t>доксициклин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(10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  <w:r w:rsidRPr="001F4107">
        <w:rPr>
          <w:rFonts w:eastAsia="Times New Roman" w:cstheme="minorHAnsi"/>
          <w:sz w:val="24"/>
          <w:szCs w:val="24"/>
        </w:rPr>
        <w:t>)</w:t>
      </w:r>
    </w:p>
    <w:p w14:paraId="5BCCDEFC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Резултати</w:t>
      </w:r>
      <w:proofErr w:type="spellEnd"/>
      <w:r w:rsidRPr="001F4107">
        <w:rPr>
          <w:rFonts w:eastAsia="Times New Roman" w:cstheme="minorHAnsi"/>
          <w:sz w:val="24"/>
          <w:szCs w:val="24"/>
        </w:rPr>
        <w:t>:</w:t>
      </w:r>
    </w:p>
    <w:p w14:paraId="5D933FDD" w14:textId="77777777" w:rsidR="001F4107" w:rsidRPr="001F4107" w:rsidRDefault="001F4107" w:rsidP="007E3C27">
      <w:pPr>
        <w:numPr>
          <w:ilvl w:val="0"/>
          <w:numId w:val="6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 xml:space="preserve">75%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негативни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13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а </w:t>
      </w:r>
      <w:proofErr w:type="spellStart"/>
      <w:r w:rsidRPr="001F4107">
        <w:rPr>
          <w:rFonts w:eastAsia="Times New Roman" w:cstheme="minorHAnsi"/>
          <w:sz w:val="24"/>
          <w:szCs w:val="24"/>
        </w:rPr>
        <w:t>сите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негативни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18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</w:p>
    <w:p w14:paraId="7505E4B6" w14:textId="77777777" w:rsidR="001F4107" w:rsidRPr="001F4107" w:rsidRDefault="001F4107" w:rsidP="007E3C27">
      <w:pPr>
        <w:numPr>
          <w:ilvl w:val="0"/>
          <w:numId w:val="6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Ниеден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испратен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интензивна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нега</w:t>
      </w:r>
      <w:proofErr w:type="spellEnd"/>
    </w:p>
    <w:p w14:paraId="7E241BBD" w14:textId="77777777" w:rsidR="001F4107" w:rsidRPr="001F4107" w:rsidRDefault="001F4107" w:rsidP="007E3C27">
      <w:pPr>
        <w:numPr>
          <w:ilvl w:val="0"/>
          <w:numId w:val="6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Немало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забележливи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несакани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последици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терапијата</w:t>
      </w:r>
      <w:proofErr w:type="spellEnd"/>
    </w:p>
    <w:p w14:paraId="4A492B27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заклучокот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трудот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авторите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нагласуваат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дека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ако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оваа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терапија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даде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првите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денови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позитивниот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тест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F4107">
        <w:rPr>
          <w:rFonts w:eastAsia="Times New Roman" w:cstheme="minorHAnsi"/>
          <w:sz w:val="24"/>
          <w:szCs w:val="24"/>
        </w:rPr>
        <w:t>може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значително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намали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стапката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хоспитализација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да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спречат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непотребните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смртни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случаи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респиратори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одделенијата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интензивна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нега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74095CFE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> </w:t>
      </w:r>
    </w:p>
    <w:p w14:paraId="264176B5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b/>
          <w:bCs/>
          <w:sz w:val="24"/>
          <w:szCs w:val="24"/>
        </w:rPr>
        <w:t>3)</w:t>
      </w:r>
      <w:r w:rsidRPr="001F4107">
        <w:rPr>
          <w:rFonts w:eastAsia="Times New Roman" w:cstheme="minorHAnsi"/>
          <w:sz w:val="24"/>
          <w:szCs w:val="24"/>
        </w:rPr>
        <w:t> 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студијата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насловена</w:t>
      </w:r>
      <w:proofErr w:type="spellEnd"/>
      <w:r w:rsidRPr="001F4107">
        <w:rPr>
          <w:rFonts w:eastAsia="Times New Roman" w:cstheme="minorHAnsi"/>
          <w:sz w:val="24"/>
          <w:szCs w:val="24"/>
        </w:rPr>
        <w:t> </w:t>
      </w:r>
      <w:hyperlink r:id="rId14" w:tgtFrame="_blank" w:history="1"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>“Comparison of Viral Clearance between Ivermectin with Doxycycline and Hydroxychloroquine with Azithromycin in COVID-19 Patients”</w:t>
        </w:r>
      </w:hyperlink>
      <w:r w:rsidRPr="001F4107">
        <w:rPr>
          <w:rFonts w:eastAsia="Times New Roman" w:cstheme="minorHAnsi"/>
          <w:sz w:val="24"/>
          <w:szCs w:val="24"/>
        </w:rPr>
        <w:t xml:space="preserve">, 400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поделени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две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групи</w:t>
      </w:r>
      <w:proofErr w:type="spellEnd"/>
      <w:r w:rsidRPr="001F4107">
        <w:rPr>
          <w:rFonts w:eastAsia="Times New Roman" w:cstheme="minorHAnsi"/>
          <w:sz w:val="24"/>
          <w:szCs w:val="24"/>
        </w:rPr>
        <w:t>:</w:t>
      </w:r>
    </w:p>
    <w:p w14:paraId="3873D01A" w14:textId="77777777" w:rsidR="001F4107" w:rsidRPr="001F4107" w:rsidRDefault="001F4107" w:rsidP="007E3C27">
      <w:pPr>
        <w:numPr>
          <w:ilvl w:val="0"/>
          <w:numId w:val="7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А: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доксициклин</w:t>
      </w:r>
      <w:proofErr w:type="spellEnd"/>
    </w:p>
    <w:p w14:paraId="4E0340D3" w14:textId="77777777" w:rsidR="001F4107" w:rsidRPr="001F4107" w:rsidRDefault="001F4107" w:rsidP="007E3C27">
      <w:pPr>
        <w:numPr>
          <w:ilvl w:val="0"/>
          <w:numId w:val="7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Б: </w:t>
      </w:r>
      <w:proofErr w:type="spellStart"/>
      <w:r w:rsidRPr="001F4107">
        <w:rPr>
          <w:rFonts w:eastAsia="Times New Roman" w:cstheme="minorHAnsi"/>
          <w:sz w:val="24"/>
          <w:szCs w:val="24"/>
        </w:rPr>
        <w:t>хидроксихлорохин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азитромицин</w:t>
      </w:r>
      <w:proofErr w:type="spellEnd"/>
    </w:p>
    <w:p w14:paraId="6DDAAE26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lastRenderedPageBreak/>
        <w:t>Резултати</w:t>
      </w:r>
      <w:proofErr w:type="spellEnd"/>
      <w:r w:rsidRPr="001F4107">
        <w:rPr>
          <w:rFonts w:eastAsia="Times New Roman" w:cstheme="minorHAnsi"/>
          <w:sz w:val="24"/>
          <w:szCs w:val="24"/>
        </w:rPr>
        <w:t>:</w:t>
      </w:r>
    </w:p>
    <w:p w14:paraId="7957DD4A" w14:textId="77777777" w:rsidR="001F4107" w:rsidRPr="001F4107" w:rsidRDefault="001F4107" w:rsidP="007E3C27">
      <w:pPr>
        <w:numPr>
          <w:ilvl w:val="0"/>
          <w:numId w:val="8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 xml:space="preserve">83%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А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чисти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вирусот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6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</w:p>
    <w:p w14:paraId="3AD158E5" w14:textId="77777777" w:rsidR="001F4107" w:rsidRPr="001F4107" w:rsidRDefault="001F4107" w:rsidP="007E3C27">
      <w:pPr>
        <w:numPr>
          <w:ilvl w:val="0"/>
          <w:numId w:val="8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 xml:space="preserve">81%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Б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чисти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вирусот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12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</w:p>
    <w:p w14:paraId="0C4C0A28" w14:textId="77777777" w:rsidR="001F4107" w:rsidRPr="001F4107" w:rsidRDefault="001F4107" w:rsidP="007E3C27">
      <w:pPr>
        <w:numPr>
          <w:ilvl w:val="0"/>
          <w:numId w:val="8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+ </w:t>
      </w:r>
      <w:proofErr w:type="spellStart"/>
      <w:r w:rsidRPr="001F4107">
        <w:rPr>
          <w:rFonts w:eastAsia="Times New Roman" w:cstheme="minorHAnsi"/>
          <w:sz w:val="24"/>
          <w:szCs w:val="24"/>
        </w:rPr>
        <w:t>доксициклин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супериорен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однос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хидроксихлорохин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+ </w:t>
      </w:r>
      <w:proofErr w:type="spellStart"/>
      <w:r w:rsidRPr="001F4107">
        <w:rPr>
          <w:rFonts w:eastAsia="Times New Roman" w:cstheme="minorHAnsi"/>
          <w:sz w:val="24"/>
          <w:szCs w:val="24"/>
        </w:rPr>
        <w:t>азитромицин</w:t>
      </w:r>
      <w:proofErr w:type="spellEnd"/>
    </w:p>
    <w:p w14:paraId="5C2E6683" w14:textId="77777777" w:rsidR="001F4107" w:rsidRPr="001F4107" w:rsidRDefault="001F4107" w:rsidP="007E3C27">
      <w:pPr>
        <w:numPr>
          <w:ilvl w:val="0"/>
          <w:numId w:val="8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+ </w:t>
      </w:r>
      <w:proofErr w:type="spellStart"/>
      <w:r w:rsidRPr="001F4107">
        <w:rPr>
          <w:rFonts w:eastAsia="Times New Roman" w:cstheme="minorHAnsi"/>
          <w:sz w:val="24"/>
          <w:szCs w:val="24"/>
        </w:rPr>
        <w:t>доксициклин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е </w:t>
      </w:r>
      <w:proofErr w:type="spellStart"/>
      <w:r w:rsidRPr="001F4107">
        <w:rPr>
          <w:rFonts w:eastAsia="Times New Roman" w:cstheme="minorHAnsi"/>
          <w:sz w:val="24"/>
          <w:szCs w:val="24"/>
        </w:rPr>
        <w:t>безбедна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комбинација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ефективна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чистење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вирусот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раната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фаза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инфекцијата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кај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лесни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умерени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COVID19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7B1FA274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> </w:t>
      </w:r>
    </w:p>
    <w:p w14:paraId="07A82771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b/>
          <w:bCs/>
          <w:sz w:val="24"/>
          <w:szCs w:val="24"/>
        </w:rPr>
        <w:t>4)</w:t>
      </w:r>
      <w:r w:rsidRPr="001F4107">
        <w:rPr>
          <w:rFonts w:eastAsia="Times New Roman" w:cstheme="minorHAnsi"/>
          <w:sz w:val="24"/>
          <w:szCs w:val="24"/>
        </w:rPr>
        <w:t> 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прелиминарната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студија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објавена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јуни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наслов</w:t>
      </w:r>
      <w:proofErr w:type="spellEnd"/>
      <w:r w:rsidRPr="001F4107">
        <w:rPr>
          <w:rFonts w:eastAsia="Times New Roman" w:cstheme="minorHAnsi"/>
          <w:sz w:val="24"/>
          <w:szCs w:val="24"/>
        </w:rPr>
        <w:t> </w:t>
      </w:r>
      <w:hyperlink r:id="rId15" w:tgtFrame="_blank" w:history="1"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 xml:space="preserve">“ICON (Ivermectin in </w:t>
        </w:r>
        <w:proofErr w:type="spellStart"/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>COvid</w:t>
        </w:r>
        <w:proofErr w:type="spellEnd"/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 xml:space="preserve"> Nineteen) study: Use of Ivermectin is Associated with Lower Mortality in Hospitalized Patients with COVID19”</w:t>
        </w:r>
      </w:hyperlink>
      <w:r w:rsidRPr="001F4107">
        <w:rPr>
          <w:rFonts w:eastAsia="Times New Roman" w:cstheme="minorHAnsi"/>
          <w:sz w:val="24"/>
          <w:szCs w:val="24"/>
        </w:rPr>
        <w:t> 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третирани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испитувани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280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четири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Broward Health </w:t>
      </w:r>
      <w:proofErr w:type="spellStart"/>
      <w:r w:rsidRPr="001F4107">
        <w:rPr>
          <w:rFonts w:eastAsia="Times New Roman" w:cstheme="minorHAnsi"/>
          <w:sz w:val="24"/>
          <w:szCs w:val="24"/>
        </w:rPr>
        <w:t>болници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јужна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Флорида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САД.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нив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173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третирани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додека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107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третирани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стандардна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нега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58FDD1B9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Резултати</w:t>
      </w:r>
      <w:proofErr w:type="spellEnd"/>
      <w:r w:rsidRPr="001F4107">
        <w:rPr>
          <w:rFonts w:eastAsia="Times New Roman" w:cstheme="minorHAnsi"/>
          <w:sz w:val="24"/>
          <w:szCs w:val="24"/>
        </w:rPr>
        <w:t>:</w:t>
      </w:r>
    </w:p>
    <w:p w14:paraId="1C637E7A" w14:textId="77777777" w:rsidR="001F4107" w:rsidRPr="001F4107" w:rsidRDefault="001F4107" w:rsidP="007E3C27">
      <w:pPr>
        <w:numPr>
          <w:ilvl w:val="0"/>
          <w:numId w:val="9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 xml:space="preserve">40% </w:t>
      </w:r>
      <w:proofErr w:type="spellStart"/>
      <w:r w:rsidRPr="001F4107">
        <w:rPr>
          <w:rFonts w:eastAsia="Times New Roman" w:cstheme="minorHAnsi"/>
          <w:sz w:val="24"/>
          <w:szCs w:val="24"/>
        </w:rPr>
        <w:t>помала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смртност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кај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третирани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</w:p>
    <w:p w14:paraId="2FF7C0C0" w14:textId="77777777" w:rsidR="001F4107" w:rsidRPr="001F4107" w:rsidRDefault="001F4107" w:rsidP="007E3C27">
      <w:pPr>
        <w:numPr>
          <w:ilvl w:val="0"/>
          <w:numId w:val="9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 xml:space="preserve">52% </w:t>
      </w:r>
      <w:proofErr w:type="spellStart"/>
      <w:r w:rsidRPr="001F4107">
        <w:rPr>
          <w:rFonts w:eastAsia="Times New Roman" w:cstheme="minorHAnsi"/>
          <w:sz w:val="24"/>
          <w:szCs w:val="24"/>
        </w:rPr>
        <w:t>помала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смртност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кај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тешка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пулмонарна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болест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третирани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1F4107">
        <w:rPr>
          <w:rFonts w:eastAsia="Times New Roman" w:cstheme="minorHAnsi"/>
          <w:sz w:val="24"/>
          <w:szCs w:val="24"/>
        </w:rPr>
        <w:t>овие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кислородна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поддршка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или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респиратор</w:t>
      </w:r>
      <w:proofErr w:type="spellEnd"/>
      <w:r w:rsidRPr="001F4107">
        <w:rPr>
          <w:rFonts w:eastAsia="Times New Roman" w:cstheme="minorHAnsi"/>
          <w:sz w:val="24"/>
          <w:szCs w:val="24"/>
        </w:rPr>
        <w:t>)</w:t>
      </w:r>
    </w:p>
    <w:p w14:paraId="4EAA4297" w14:textId="77777777" w:rsidR="001F4107" w:rsidRPr="001F4107" w:rsidRDefault="001F4107" w:rsidP="007E3C27">
      <w:pPr>
        <w:numPr>
          <w:ilvl w:val="0"/>
          <w:numId w:val="9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Не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забележани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значајни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споредни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ефекти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употребата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</w:p>
    <w:p w14:paraId="74C98793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> </w:t>
      </w:r>
    </w:p>
    <w:p w14:paraId="726301BE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b/>
          <w:bCs/>
          <w:sz w:val="24"/>
          <w:szCs w:val="24"/>
        </w:rPr>
        <w:t>5)</w:t>
      </w:r>
      <w:r w:rsidRPr="001F4107">
        <w:rPr>
          <w:rFonts w:eastAsia="Times New Roman" w:cstheme="minorHAnsi"/>
          <w:sz w:val="24"/>
          <w:szCs w:val="24"/>
        </w:rPr>
        <w:t> 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јули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е </w:t>
      </w:r>
      <w:proofErr w:type="spellStart"/>
      <w:r w:rsidRPr="001F4107">
        <w:rPr>
          <w:rFonts w:eastAsia="Times New Roman" w:cstheme="minorHAnsi"/>
          <w:sz w:val="24"/>
          <w:szCs w:val="24"/>
        </w:rPr>
        <w:t>објавена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прелиминарна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студија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наслов</w:t>
      </w:r>
      <w:proofErr w:type="spellEnd"/>
      <w:r w:rsidRPr="001F4107">
        <w:rPr>
          <w:rFonts w:eastAsia="Times New Roman" w:cstheme="minorHAnsi"/>
          <w:sz w:val="24"/>
          <w:szCs w:val="24"/>
        </w:rPr>
        <w:t> </w:t>
      </w:r>
      <w:hyperlink r:id="rId16" w:tgtFrame="_blank" w:history="1">
        <w:r w:rsidRPr="001F4107">
          <w:rPr>
            <w:rFonts w:eastAsia="Times New Roman" w:cstheme="minorHAnsi"/>
            <w:color w:val="C0392B"/>
            <w:sz w:val="24"/>
            <w:szCs w:val="24"/>
            <w:u w:val="single"/>
          </w:rPr>
          <w:t>“Effectiveness of Ivermectin as add-on Therapy in COVID-19 Management”</w:t>
        </w:r>
      </w:hyperlink>
      <w:r w:rsidRPr="001F4107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F4107">
        <w:rPr>
          <w:rFonts w:eastAsia="Times New Roman" w:cstheme="minorHAnsi"/>
          <w:sz w:val="24"/>
          <w:szCs w:val="24"/>
        </w:rPr>
        <w:t>Вкупно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87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поделени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две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групи</w:t>
      </w:r>
      <w:proofErr w:type="spellEnd"/>
      <w:r w:rsidRPr="001F4107">
        <w:rPr>
          <w:rFonts w:eastAsia="Times New Roman" w:cstheme="minorHAnsi"/>
          <w:sz w:val="24"/>
          <w:szCs w:val="24"/>
        </w:rPr>
        <w:t>:</w:t>
      </w:r>
    </w:p>
    <w:p w14:paraId="5B46D33A" w14:textId="77777777" w:rsidR="001F4107" w:rsidRPr="001F4107" w:rsidRDefault="001F4107" w:rsidP="007E3C27">
      <w:pPr>
        <w:numPr>
          <w:ilvl w:val="0"/>
          <w:numId w:val="10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 xml:space="preserve">16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кои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примиле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една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доза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стандардна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терапија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хидроксихлорохин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азитромицин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472245FD" w14:textId="77777777" w:rsidR="001F4107" w:rsidRPr="001F4107" w:rsidRDefault="001F4107" w:rsidP="007E3C27">
      <w:pPr>
        <w:numPr>
          <w:ilvl w:val="0"/>
          <w:numId w:val="10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 xml:space="preserve">71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кои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примале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стандардна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терапија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хидроксихлорохин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азитромицин</w:t>
      </w:r>
      <w:proofErr w:type="spellEnd"/>
    </w:p>
    <w:p w14:paraId="08E3E6A9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Резултати</w:t>
      </w:r>
      <w:proofErr w:type="spellEnd"/>
      <w:r w:rsidRPr="001F4107">
        <w:rPr>
          <w:rFonts w:eastAsia="Times New Roman" w:cstheme="minorHAnsi"/>
          <w:sz w:val="24"/>
          <w:szCs w:val="24"/>
        </w:rPr>
        <w:t>:</w:t>
      </w:r>
    </w:p>
    <w:p w14:paraId="2A149C84" w14:textId="77777777" w:rsidR="001F4107" w:rsidRPr="001F4107" w:rsidRDefault="001F4107" w:rsidP="007E3C27">
      <w:pPr>
        <w:numPr>
          <w:ilvl w:val="0"/>
          <w:numId w:val="11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Сите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16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излечени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F4107">
        <w:rPr>
          <w:rFonts w:eastAsia="Times New Roman" w:cstheme="minorHAnsi"/>
          <w:sz w:val="24"/>
          <w:szCs w:val="24"/>
        </w:rPr>
        <w:t>Просечното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време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болнички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престој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оваа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7,62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73C5337D" w14:textId="77777777" w:rsidR="001F4107" w:rsidRPr="001F4107" w:rsidRDefault="001F4107" w:rsidP="007E3C27">
      <w:pPr>
        <w:numPr>
          <w:ilvl w:val="0"/>
          <w:numId w:val="11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контролната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71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F4107">
        <w:rPr>
          <w:rFonts w:eastAsia="Times New Roman" w:cstheme="minorHAnsi"/>
          <w:sz w:val="24"/>
          <w:szCs w:val="24"/>
        </w:rPr>
        <w:t>двајца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починале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F4107">
        <w:rPr>
          <w:rFonts w:eastAsia="Times New Roman" w:cstheme="minorHAnsi"/>
          <w:sz w:val="24"/>
          <w:szCs w:val="24"/>
        </w:rPr>
        <w:t>Просечното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време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болнички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престој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оваа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13,22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6F5543CF" w14:textId="77777777" w:rsidR="001F4107" w:rsidRPr="001F4107" w:rsidRDefault="001F4107" w:rsidP="007E3C27">
      <w:pPr>
        <w:numPr>
          <w:ilvl w:val="0"/>
          <w:numId w:val="11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Не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забележани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споредни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ефекти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351750B7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> </w:t>
      </w:r>
    </w:p>
    <w:p w14:paraId="5A804157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b/>
          <w:bCs/>
          <w:sz w:val="24"/>
          <w:szCs w:val="24"/>
        </w:rPr>
        <w:t>6)</w:t>
      </w:r>
      <w:r w:rsidRPr="001F4107">
        <w:rPr>
          <w:rFonts w:eastAsia="Times New Roman" w:cstheme="minorHAnsi"/>
          <w:sz w:val="24"/>
          <w:szCs w:val="24"/>
        </w:rPr>
        <w:t> 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јули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е </w:t>
      </w:r>
      <w:proofErr w:type="spellStart"/>
      <w:r w:rsidRPr="001F4107">
        <w:rPr>
          <w:rFonts w:eastAsia="Times New Roman" w:cstheme="minorHAnsi"/>
          <w:sz w:val="24"/>
          <w:szCs w:val="24"/>
        </w:rPr>
        <w:t>објавено</w:t>
      </w:r>
      <w:proofErr w:type="spellEnd"/>
      <w:r w:rsidRPr="001F4107">
        <w:rPr>
          <w:rFonts w:eastAsia="Times New Roman" w:cstheme="minorHAnsi"/>
          <w:sz w:val="24"/>
          <w:szCs w:val="24"/>
        </w:rPr>
        <w:t> </w:t>
      </w:r>
      <w:proofErr w:type="spellStart"/>
      <w:r w:rsidR="009B5282">
        <w:fldChar w:fldCharType="begin"/>
      </w:r>
      <w:r w:rsidR="009B5282">
        <w:instrText xml:space="preserve"> HYPERLINK "https://www.youtube.com</w:instrText>
      </w:r>
      <w:r w:rsidR="009B5282">
        <w:instrText xml:space="preserve">/watch?v=OUrwuQn2hic" \t "_blank" </w:instrText>
      </w:r>
      <w:r w:rsidR="009B5282">
        <w:fldChar w:fldCharType="separate"/>
      </w:r>
      <w:r w:rsidRPr="001F4107">
        <w:rPr>
          <w:rFonts w:eastAsia="Times New Roman" w:cstheme="minorHAnsi"/>
          <w:color w:val="C0392B"/>
          <w:sz w:val="24"/>
          <w:szCs w:val="24"/>
          <w:u w:val="single"/>
        </w:rPr>
        <w:t>Youtube</w:t>
      </w:r>
      <w:proofErr w:type="spellEnd"/>
      <w:r w:rsidRPr="001F4107">
        <w:rPr>
          <w:rFonts w:eastAsia="Times New Roman" w:cstheme="minorHAnsi"/>
          <w:color w:val="C0392B"/>
          <w:sz w:val="24"/>
          <w:szCs w:val="24"/>
          <w:u w:val="single"/>
        </w:rPr>
        <w:t xml:space="preserve"> </w:t>
      </w:r>
      <w:proofErr w:type="spellStart"/>
      <w:r w:rsidRPr="001F4107">
        <w:rPr>
          <w:rFonts w:eastAsia="Times New Roman" w:cstheme="minorHAnsi"/>
          <w:color w:val="C0392B"/>
          <w:sz w:val="24"/>
          <w:szCs w:val="24"/>
          <w:u w:val="single"/>
        </w:rPr>
        <w:t>видео</w:t>
      </w:r>
      <w:proofErr w:type="spellEnd"/>
      <w:r w:rsidR="009B5282">
        <w:rPr>
          <w:rFonts w:eastAsia="Times New Roman" w:cstheme="minorHAnsi"/>
          <w:color w:val="C0392B"/>
          <w:sz w:val="24"/>
          <w:szCs w:val="24"/>
          <w:u w:val="single"/>
        </w:rPr>
        <w:fldChar w:fldCharType="end"/>
      </w:r>
      <w:r w:rsidRPr="001F4107">
        <w:rPr>
          <w:rFonts w:eastAsia="Times New Roman" w:cstheme="minorHAnsi"/>
          <w:sz w:val="24"/>
          <w:szCs w:val="24"/>
        </w:rPr>
        <w:t> 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презентација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прелиминарни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резултати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студија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Универзитетот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Буенос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Аирес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реализирана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болницата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“Dr. A </w:t>
      </w:r>
      <w:proofErr w:type="spellStart"/>
      <w:r w:rsidRPr="001F4107">
        <w:rPr>
          <w:rFonts w:eastAsia="Times New Roman" w:cstheme="minorHAnsi"/>
          <w:sz w:val="24"/>
          <w:szCs w:val="24"/>
        </w:rPr>
        <w:t>Ernekian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”. </w:t>
      </w:r>
      <w:proofErr w:type="spellStart"/>
      <w:r w:rsidRPr="001F4107">
        <w:rPr>
          <w:rFonts w:eastAsia="Times New Roman" w:cstheme="minorHAnsi"/>
          <w:sz w:val="24"/>
          <w:szCs w:val="24"/>
        </w:rPr>
        <w:t>Се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очекува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наскоро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биде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објавен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1F4107">
        <w:rPr>
          <w:rFonts w:eastAsia="Times New Roman" w:cstheme="minorHAnsi"/>
          <w:sz w:val="24"/>
          <w:szCs w:val="24"/>
        </w:rPr>
        <w:t>трудот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презентацијата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дадени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следните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податоци</w:t>
      </w:r>
      <w:proofErr w:type="spellEnd"/>
      <w:r w:rsidRPr="001F4107">
        <w:rPr>
          <w:rFonts w:eastAsia="Times New Roman" w:cstheme="minorHAnsi"/>
          <w:sz w:val="24"/>
          <w:szCs w:val="24"/>
        </w:rPr>
        <w:t>:</w:t>
      </w:r>
    </w:p>
    <w:p w14:paraId="05577DAD" w14:textId="77777777" w:rsidR="001F4107" w:rsidRPr="001F4107" w:rsidRDefault="001F4107" w:rsidP="007E3C27">
      <w:pPr>
        <w:numPr>
          <w:ilvl w:val="0"/>
          <w:numId w:val="12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lastRenderedPageBreak/>
        <w:t xml:space="preserve">135 </w:t>
      </w:r>
      <w:proofErr w:type="spellStart"/>
      <w:r w:rsidRPr="001F4107">
        <w:rPr>
          <w:rFonts w:eastAsia="Times New Roman" w:cstheme="minorHAnsi"/>
          <w:sz w:val="24"/>
          <w:szCs w:val="24"/>
        </w:rPr>
        <w:t>лесни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случаи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третирани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плус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други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лекови</w:t>
      </w:r>
      <w:proofErr w:type="spellEnd"/>
    </w:p>
    <w:p w14:paraId="087D0BE0" w14:textId="77777777" w:rsidR="001F4107" w:rsidRPr="001F4107" w:rsidRDefault="001F4107" w:rsidP="007E3C27">
      <w:pPr>
        <w:numPr>
          <w:ilvl w:val="0"/>
          <w:numId w:val="12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 xml:space="preserve">32 </w:t>
      </w:r>
      <w:proofErr w:type="spellStart"/>
      <w:r w:rsidRPr="001F4107">
        <w:rPr>
          <w:rFonts w:eastAsia="Times New Roman" w:cstheme="minorHAnsi"/>
          <w:sz w:val="24"/>
          <w:szCs w:val="24"/>
        </w:rPr>
        <w:t>умерени</w:t>
      </w:r>
      <w:proofErr w:type="spellEnd"/>
      <w:r w:rsidRPr="001F4107">
        <w:rPr>
          <w:rFonts w:eastAsia="Times New Roman" w:cstheme="minorHAnsi"/>
          <w:sz w:val="24"/>
          <w:szCs w:val="24"/>
        </w:rPr>
        <w:t>/</w:t>
      </w:r>
      <w:proofErr w:type="spellStart"/>
      <w:r w:rsidRPr="001F4107">
        <w:rPr>
          <w:rFonts w:eastAsia="Times New Roman" w:cstheme="minorHAnsi"/>
          <w:sz w:val="24"/>
          <w:szCs w:val="24"/>
        </w:rPr>
        <w:t>тешки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случаи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третирани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плус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други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лекови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F4107">
        <w:rPr>
          <w:rFonts w:eastAsia="Times New Roman" w:cstheme="minorHAnsi"/>
          <w:sz w:val="24"/>
          <w:szCs w:val="24"/>
        </w:rPr>
        <w:t>Дозата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пропорционална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степенот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клиничката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слика</w:t>
      </w:r>
      <w:proofErr w:type="spellEnd"/>
    </w:p>
    <w:p w14:paraId="403D426D" w14:textId="77777777" w:rsidR="001F4107" w:rsidRPr="001F4107" w:rsidRDefault="001F4107" w:rsidP="007E3C27">
      <w:pPr>
        <w:numPr>
          <w:ilvl w:val="0"/>
          <w:numId w:val="12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 xml:space="preserve">14 </w:t>
      </w:r>
      <w:proofErr w:type="spellStart"/>
      <w:r w:rsidRPr="001F4107">
        <w:rPr>
          <w:rFonts w:eastAsia="Times New Roman" w:cstheme="minorHAnsi"/>
          <w:sz w:val="24"/>
          <w:szCs w:val="24"/>
        </w:rPr>
        <w:t>умерени</w:t>
      </w:r>
      <w:proofErr w:type="spellEnd"/>
      <w:r w:rsidRPr="001F4107">
        <w:rPr>
          <w:rFonts w:eastAsia="Times New Roman" w:cstheme="minorHAnsi"/>
          <w:sz w:val="24"/>
          <w:szCs w:val="24"/>
        </w:rPr>
        <w:t>/</w:t>
      </w:r>
      <w:proofErr w:type="spellStart"/>
      <w:r w:rsidRPr="001F4107">
        <w:rPr>
          <w:rFonts w:eastAsia="Times New Roman" w:cstheme="minorHAnsi"/>
          <w:sz w:val="24"/>
          <w:szCs w:val="24"/>
        </w:rPr>
        <w:t>тешки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случаи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третирани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други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лекови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F4107">
        <w:rPr>
          <w:rFonts w:eastAsia="Times New Roman" w:cstheme="minorHAnsi"/>
          <w:sz w:val="24"/>
          <w:szCs w:val="24"/>
        </w:rPr>
        <w:t>но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без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</w:p>
    <w:p w14:paraId="092A3654" w14:textId="77777777" w:rsidR="001F4107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Резултати</w:t>
      </w:r>
      <w:proofErr w:type="spellEnd"/>
      <w:r w:rsidRPr="001F4107">
        <w:rPr>
          <w:rFonts w:eastAsia="Times New Roman" w:cstheme="minorHAnsi"/>
          <w:sz w:val="24"/>
          <w:szCs w:val="24"/>
        </w:rPr>
        <w:t>:</w:t>
      </w:r>
    </w:p>
    <w:p w14:paraId="3372E91E" w14:textId="77777777" w:rsidR="001F4107" w:rsidRPr="001F4107" w:rsidRDefault="001F4107" w:rsidP="007E3C27">
      <w:pPr>
        <w:numPr>
          <w:ilvl w:val="0"/>
          <w:numId w:val="13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14 </w:t>
      </w:r>
      <w:proofErr w:type="spellStart"/>
      <w:r w:rsidRPr="001F4107">
        <w:rPr>
          <w:rFonts w:eastAsia="Times New Roman" w:cstheme="minorHAnsi"/>
          <w:sz w:val="24"/>
          <w:szCs w:val="24"/>
        </w:rPr>
        <w:t>умерени</w:t>
      </w:r>
      <w:proofErr w:type="spellEnd"/>
      <w:r w:rsidRPr="001F4107">
        <w:rPr>
          <w:rFonts w:eastAsia="Times New Roman" w:cstheme="minorHAnsi"/>
          <w:sz w:val="24"/>
          <w:szCs w:val="24"/>
        </w:rPr>
        <w:t>/</w:t>
      </w:r>
      <w:proofErr w:type="spellStart"/>
      <w:r w:rsidRPr="001F4107">
        <w:rPr>
          <w:rFonts w:eastAsia="Times New Roman" w:cstheme="minorHAnsi"/>
          <w:sz w:val="24"/>
          <w:szCs w:val="24"/>
        </w:rPr>
        <w:t>тешки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случаи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третирани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други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лекови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без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починале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тројца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или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21%. </w:t>
      </w:r>
      <w:proofErr w:type="spellStart"/>
      <w:r w:rsidRPr="001F4107">
        <w:rPr>
          <w:rFonts w:eastAsia="Times New Roman" w:cstheme="minorHAnsi"/>
          <w:sz w:val="24"/>
          <w:szCs w:val="24"/>
        </w:rPr>
        <w:t>Средното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време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болнички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престој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оваа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21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5A65EB01" w14:textId="77777777" w:rsidR="001F4107" w:rsidRPr="001F4107" w:rsidRDefault="001F4107" w:rsidP="007E3C27">
      <w:pPr>
        <w:numPr>
          <w:ilvl w:val="0"/>
          <w:numId w:val="13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32 </w:t>
      </w:r>
      <w:proofErr w:type="spellStart"/>
      <w:r w:rsidRPr="001F4107">
        <w:rPr>
          <w:rFonts w:eastAsia="Times New Roman" w:cstheme="minorHAnsi"/>
          <w:sz w:val="24"/>
          <w:szCs w:val="24"/>
        </w:rPr>
        <w:t>умерени</w:t>
      </w:r>
      <w:proofErr w:type="spellEnd"/>
      <w:r w:rsidRPr="001F4107">
        <w:rPr>
          <w:rFonts w:eastAsia="Times New Roman" w:cstheme="minorHAnsi"/>
          <w:sz w:val="24"/>
          <w:szCs w:val="24"/>
        </w:rPr>
        <w:t>/</w:t>
      </w:r>
      <w:proofErr w:type="spellStart"/>
      <w:r w:rsidRPr="001F4107">
        <w:rPr>
          <w:rFonts w:eastAsia="Times New Roman" w:cstheme="minorHAnsi"/>
          <w:sz w:val="24"/>
          <w:szCs w:val="24"/>
        </w:rPr>
        <w:t>тешки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случаи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третирани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плус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други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лекови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F4107">
        <w:rPr>
          <w:rFonts w:eastAsia="Times New Roman" w:cstheme="minorHAnsi"/>
          <w:sz w:val="24"/>
          <w:szCs w:val="24"/>
        </w:rPr>
        <w:t>починал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еден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или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3%. </w:t>
      </w:r>
      <w:proofErr w:type="spellStart"/>
      <w:r w:rsidRPr="001F4107">
        <w:rPr>
          <w:rFonts w:eastAsia="Times New Roman" w:cstheme="minorHAnsi"/>
          <w:sz w:val="24"/>
          <w:szCs w:val="24"/>
        </w:rPr>
        <w:t>Средното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време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болнички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престој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оваа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било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14 </w:t>
      </w:r>
      <w:proofErr w:type="spellStart"/>
      <w:r w:rsidRPr="001F4107">
        <w:rPr>
          <w:rFonts w:eastAsia="Times New Roman" w:cstheme="minorHAnsi"/>
          <w:sz w:val="24"/>
          <w:szCs w:val="24"/>
        </w:rPr>
        <w:t>дена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12F56DAB" w14:textId="77777777" w:rsidR="001F4107" w:rsidRPr="001F4107" w:rsidRDefault="001F4107" w:rsidP="007E3C27">
      <w:pPr>
        <w:numPr>
          <w:ilvl w:val="0"/>
          <w:numId w:val="13"/>
        </w:numPr>
        <w:spacing w:after="108"/>
        <w:ind w:left="60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1F4107">
        <w:rPr>
          <w:rFonts w:eastAsia="Times New Roman" w:cstheme="minorHAnsi"/>
          <w:sz w:val="24"/>
          <w:szCs w:val="24"/>
        </w:rPr>
        <w:t>Од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135 </w:t>
      </w:r>
      <w:proofErr w:type="spellStart"/>
      <w:r w:rsidRPr="001F4107">
        <w:rPr>
          <w:rFonts w:eastAsia="Times New Roman" w:cstheme="minorHAnsi"/>
          <w:sz w:val="24"/>
          <w:szCs w:val="24"/>
        </w:rPr>
        <w:t>лесни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случаи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третирани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ивермектин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плус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други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лекови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F4107">
        <w:rPr>
          <w:rFonts w:eastAsia="Times New Roman" w:cstheme="minorHAnsi"/>
          <w:sz w:val="24"/>
          <w:szCs w:val="24"/>
        </w:rPr>
        <w:t>сите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оздравеле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F4107">
        <w:rPr>
          <w:rFonts w:eastAsia="Times New Roman" w:cstheme="minorHAnsi"/>
          <w:sz w:val="24"/>
          <w:szCs w:val="24"/>
        </w:rPr>
        <w:t>Статистички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F4107">
        <w:rPr>
          <w:rFonts w:eastAsia="Times New Roman" w:cstheme="minorHAnsi"/>
          <w:sz w:val="24"/>
          <w:szCs w:val="24"/>
        </w:rPr>
        <w:t>состојбата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лесни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симптоми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се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влошува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5% </w:t>
      </w:r>
      <w:proofErr w:type="spellStart"/>
      <w:r w:rsidRPr="001F4107">
        <w:rPr>
          <w:rFonts w:eastAsia="Times New Roman" w:cstheme="minorHAnsi"/>
          <w:sz w:val="24"/>
          <w:szCs w:val="24"/>
        </w:rPr>
        <w:t>случаи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оваа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група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тој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процент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е </w:t>
      </w:r>
      <w:proofErr w:type="spellStart"/>
      <w:r w:rsidRPr="001F4107">
        <w:rPr>
          <w:rFonts w:eastAsia="Times New Roman" w:cstheme="minorHAnsi"/>
          <w:sz w:val="24"/>
          <w:szCs w:val="24"/>
        </w:rPr>
        <w:t>нула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1F4107">
        <w:rPr>
          <w:rFonts w:eastAsia="Times New Roman" w:cstheme="minorHAnsi"/>
          <w:sz w:val="24"/>
          <w:szCs w:val="24"/>
        </w:rPr>
        <w:t>односно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ниеден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пациент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не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завршил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во</w:t>
      </w:r>
      <w:proofErr w:type="spellEnd"/>
      <w:r w:rsidRPr="001F410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F4107">
        <w:rPr>
          <w:rFonts w:eastAsia="Times New Roman" w:cstheme="minorHAnsi"/>
          <w:sz w:val="24"/>
          <w:szCs w:val="24"/>
        </w:rPr>
        <w:t>болница</w:t>
      </w:r>
      <w:proofErr w:type="spellEnd"/>
      <w:r w:rsidRPr="001F4107">
        <w:rPr>
          <w:rFonts w:eastAsia="Times New Roman" w:cstheme="minorHAnsi"/>
          <w:sz w:val="24"/>
          <w:szCs w:val="24"/>
        </w:rPr>
        <w:t>.</w:t>
      </w:r>
    </w:p>
    <w:p w14:paraId="6C7CE69A" w14:textId="77777777" w:rsidR="0067394C" w:rsidRPr="001F4107" w:rsidRDefault="001F4107" w:rsidP="001F4107">
      <w:pPr>
        <w:spacing w:after="168"/>
        <w:jc w:val="both"/>
        <w:rPr>
          <w:rFonts w:eastAsia="Times New Roman" w:cstheme="minorHAnsi"/>
          <w:sz w:val="24"/>
          <w:szCs w:val="24"/>
        </w:rPr>
      </w:pPr>
      <w:r w:rsidRPr="001F4107">
        <w:rPr>
          <w:rFonts w:eastAsia="Times New Roman" w:cstheme="minorHAnsi"/>
          <w:sz w:val="24"/>
          <w:szCs w:val="24"/>
        </w:rPr>
        <w:t> </w:t>
      </w:r>
      <w:r>
        <w:rPr>
          <w:rFonts w:eastAsia="Times New Roman" w:cstheme="minorHAnsi"/>
          <w:sz w:val="24"/>
          <w:szCs w:val="24"/>
        </w:rPr>
        <w:tab/>
      </w:r>
      <w:r w:rsidRPr="001F4107">
        <w:rPr>
          <w:rFonts w:eastAsia="Times New Roman" w:cstheme="minorHAnsi"/>
          <w:sz w:val="24"/>
          <w:szCs w:val="24"/>
        </w:rPr>
        <w:t> </w:t>
      </w:r>
      <w:r>
        <w:rPr>
          <w:rFonts w:cstheme="minorHAnsi"/>
          <w:sz w:val="24"/>
          <w:szCs w:val="24"/>
          <w:lang w:val="mk-MK"/>
        </w:rPr>
        <w:t>Сите овие студии</w:t>
      </w:r>
      <w:r w:rsidR="0067394C" w:rsidRPr="001F4107">
        <w:rPr>
          <w:rFonts w:cstheme="minorHAnsi"/>
          <w:sz w:val="24"/>
          <w:szCs w:val="24"/>
          <w:lang w:val="mk-MK"/>
        </w:rPr>
        <w:t xml:space="preserve"> укажуваат дека </w:t>
      </w:r>
      <w:proofErr w:type="spellStart"/>
      <w:r w:rsidR="0067394C" w:rsidRPr="001F4107">
        <w:rPr>
          <w:rFonts w:cstheme="minorHAnsi"/>
          <w:sz w:val="24"/>
          <w:szCs w:val="24"/>
          <w:lang w:val="mk-MK"/>
        </w:rPr>
        <w:t>Ivermectin-от</w:t>
      </w:r>
      <w:proofErr w:type="spellEnd"/>
      <w:r w:rsidR="0067394C" w:rsidRPr="001F4107">
        <w:rPr>
          <w:rFonts w:cstheme="minorHAnsi"/>
          <w:sz w:val="24"/>
          <w:szCs w:val="24"/>
          <w:lang w:val="mk-MK"/>
        </w:rPr>
        <w:t xml:space="preserve"> може да има битен клинички бенефит во сите фазите на болеста, </w:t>
      </w:r>
      <w:proofErr w:type="spellStart"/>
      <w:r w:rsidR="0067394C" w:rsidRPr="001F4107">
        <w:rPr>
          <w:rFonts w:cstheme="minorHAnsi"/>
          <w:sz w:val="24"/>
          <w:szCs w:val="24"/>
          <w:lang w:val="mk-MK"/>
        </w:rPr>
        <w:t>т.е</w:t>
      </w:r>
      <w:proofErr w:type="spellEnd"/>
      <w:r w:rsidR="0067394C" w:rsidRPr="001F4107">
        <w:rPr>
          <w:rFonts w:cstheme="minorHAnsi"/>
          <w:sz w:val="24"/>
          <w:szCs w:val="24"/>
          <w:lang w:val="mk-MK"/>
        </w:rPr>
        <w:t xml:space="preserve"> пред </w:t>
      </w:r>
      <w:proofErr w:type="spellStart"/>
      <w:r w:rsidR="0067394C" w:rsidRPr="001F4107">
        <w:rPr>
          <w:rFonts w:cstheme="minorHAnsi"/>
          <w:sz w:val="24"/>
          <w:szCs w:val="24"/>
          <w:lang w:val="mk-MK"/>
        </w:rPr>
        <w:t>експозициска</w:t>
      </w:r>
      <w:proofErr w:type="spellEnd"/>
      <w:r w:rsidR="0067394C" w:rsidRPr="001F4107">
        <w:rPr>
          <w:rFonts w:cstheme="minorHAnsi"/>
          <w:sz w:val="24"/>
          <w:szCs w:val="24"/>
          <w:lang w:val="mk-MK"/>
        </w:rPr>
        <w:t xml:space="preserve"> профилакса, пост-</w:t>
      </w:r>
      <w:proofErr w:type="spellStart"/>
      <w:r w:rsidR="0067394C" w:rsidRPr="001F4107">
        <w:rPr>
          <w:rFonts w:cstheme="minorHAnsi"/>
          <w:sz w:val="24"/>
          <w:szCs w:val="24"/>
          <w:lang w:val="mk-MK"/>
        </w:rPr>
        <w:t>експозициска</w:t>
      </w:r>
      <w:proofErr w:type="spellEnd"/>
      <w:r w:rsidR="0067394C" w:rsidRPr="001F4107">
        <w:rPr>
          <w:rFonts w:cstheme="minorHAnsi"/>
          <w:sz w:val="24"/>
          <w:szCs w:val="24"/>
          <w:lang w:val="mk-MK"/>
        </w:rPr>
        <w:t xml:space="preserve"> профилакса, за време на </w:t>
      </w:r>
      <w:proofErr w:type="spellStart"/>
      <w:r w:rsidR="0067394C" w:rsidRPr="001F4107">
        <w:rPr>
          <w:rFonts w:cstheme="minorHAnsi"/>
          <w:sz w:val="24"/>
          <w:szCs w:val="24"/>
          <w:lang w:val="mk-MK"/>
        </w:rPr>
        <w:t>симптоматската</w:t>
      </w:r>
      <w:proofErr w:type="spellEnd"/>
      <w:r w:rsidR="0067394C" w:rsidRPr="001F4107">
        <w:rPr>
          <w:rFonts w:cstheme="minorHAnsi"/>
          <w:sz w:val="24"/>
          <w:szCs w:val="24"/>
          <w:lang w:val="mk-MK"/>
        </w:rPr>
        <w:t xml:space="preserve"> фаза </w:t>
      </w:r>
      <w:r w:rsidR="00555B44">
        <w:rPr>
          <w:rFonts w:cstheme="minorHAnsi"/>
          <w:sz w:val="24"/>
          <w:szCs w:val="24"/>
          <w:lang w:val="mk-MK"/>
        </w:rPr>
        <w:t xml:space="preserve">и за време на </w:t>
      </w:r>
      <w:proofErr w:type="spellStart"/>
      <w:r w:rsidR="00555B44">
        <w:rPr>
          <w:rFonts w:cstheme="minorHAnsi"/>
          <w:sz w:val="24"/>
          <w:szCs w:val="24"/>
          <w:lang w:val="mk-MK"/>
        </w:rPr>
        <w:t>пулмоналната</w:t>
      </w:r>
      <w:proofErr w:type="spellEnd"/>
      <w:r w:rsidR="00555B44">
        <w:rPr>
          <w:rFonts w:cstheme="minorHAnsi"/>
          <w:sz w:val="24"/>
          <w:szCs w:val="24"/>
          <w:lang w:val="mk-MK"/>
        </w:rPr>
        <w:t xml:space="preserve"> фаза</w:t>
      </w:r>
      <w:r w:rsidR="0067394C" w:rsidRPr="001F4107">
        <w:rPr>
          <w:rFonts w:cstheme="minorHAnsi"/>
          <w:sz w:val="24"/>
          <w:szCs w:val="24"/>
          <w:lang w:val="mk-MK"/>
        </w:rPr>
        <w:t xml:space="preserve">. Во препорачани дози, </w:t>
      </w:r>
      <w:proofErr w:type="spellStart"/>
      <w:r w:rsidR="0067394C" w:rsidRPr="001F4107">
        <w:rPr>
          <w:rFonts w:cstheme="minorHAnsi"/>
          <w:sz w:val="24"/>
          <w:szCs w:val="24"/>
          <w:lang w:val="mk-MK"/>
        </w:rPr>
        <w:t>Ivermectin-от</w:t>
      </w:r>
      <w:proofErr w:type="spellEnd"/>
      <w:r w:rsidR="0067394C" w:rsidRPr="001F4107">
        <w:rPr>
          <w:rFonts w:cstheme="minorHAnsi"/>
          <w:sz w:val="24"/>
          <w:szCs w:val="24"/>
          <w:lang w:val="mk-MK"/>
        </w:rPr>
        <w:t xml:space="preserve"> е доста безбеден (</w:t>
      </w:r>
      <w:r w:rsidR="0067394C" w:rsidRPr="001F4107">
        <w:rPr>
          <w:rFonts w:cstheme="minorHAnsi"/>
          <w:lang w:val="mk-MK"/>
        </w:rPr>
        <w:t>Слика 1</w:t>
      </w:r>
      <w:r w:rsidR="0067394C" w:rsidRPr="001F4107">
        <w:rPr>
          <w:rFonts w:cstheme="minorHAnsi"/>
          <w:sz w:val="24"/>
          <w:szCs w:val="24"/>
          <w:lang w:val="mk-MK"/>
        </w:rPr>
        <w:t>)</w:t>
      </w:r>
      <w:r w:rsidR="0067394C" w:rsidRPr="001F4107">
        <w:rPr>
          <w:rFonts w:cstheme="minorHAnsi"/>
          <w:lang w:val="mk-MK"/>
        </w:rPr>
        <w:t>.</w:t>
      </w:r>
      <w:r w:rsidR="0067394C" w:rsidRPr="001F4107">
        <w:rPr>
          <w:rFonts w:cstheme="minorHAnsi"/>
          <w:sz w:val="24"/>
          <w:szCs w:val="24"/>
          <w:lang w:val="mk-MK"/>
        </w:rPr>
        <w:t xml:space="preserve"> Итно се потребни дополнителни студии за да се потврдат овие импресивни прелиминарни резултати.</w:t>
      </w:r>
    </w:p>
    <w:p w14:paraId="0EA7859A" w14:textId="77777777" w:rsidR="007E3C27" w:rsidRDefault="007E3C27" w:rsidP="001F4107">
      <w:pPr>
        <w:jc w:val="both"/>
        <w:rPr>
          <w:rFonts w:cstheme="minorHAnsi"/>
          <w:b/>
          <w:i/>
          <w:sz w:val="28"/>
          <w:szCs w:val="28"/>
          <w:lang w:val="mk-MK"/>
        </w:rPr>
      </w:pPr>
    </w:p>
    <w:p w14:paraId="4BBD2EE6" w14:textId="77777777" w:rsidR="0067394C" w:rsidRPr="007E3C27" w:rsidRDefault="007E3C27" w:rsidP="001F4107">
      <w:pPr>
        <w:jc w:val="both"/>
        <w:rPr>
          <w:rFonts w:cstheme="minorHAnsi"/>
          <w:b/>
          <w:i/>
          <w:sz w:val="28"/>
          <w:szCs w:val="28"/>
        </w:rPr>
      </w:pPr>
      <w:r w:rsidRPr="007E3C27">
        <w:rPr>
          <w:rFonts w:cstheme="minorHAnsi"/>
          <w:b/>
          <w:i/>
          <w:sz w:val="28"/>
          <w:szCs w:val="28"/>
          <w:lang w:val="mk-MK"/>
        </w:rPr>
        <w:t xml:space="preserve">Примена на </w:t>
      </w:r>
      <w:r w:rsidRPr="007E3C27">
        <w:rPr>
          <w:rFonts w:cstheme="minorHAnsi"/>
          <w:b/>
          <w:i/>
          <w:sz w:val="28"/>
          <w:szCs w:val="28"/>
        </w:rPr>
        <w:t>Ivermectin</w:t>
      </w:r>
    </w:p>
    <w:p w14:paraId="33BD121C" w14:textId="77777777" w:rsidR="004033AB" w:rsidRPr="001F4107" w:rsidRDefault="004033AB" w:rsidP="001F4107">
      <w:pPr>
        <w:pStyle w:val="ListParagraph"/>
        <w:spacing w:line="246" w:lineRule="auto"/>
        <w:ind w:right="60"/>
        <w:jc w:val="both"/>
        <w:rPr>
          <w:rFonts w:cstheme="minorHAnsi"/>
          <w:b/>
          <w:sz w:val="24"/>
          <w:szCs w:val="24"/>
          <w:lang w:val="mk-MK"/>
        </w:rPr>
      </w:pPr>
    </w:p>
    <w:p w14:paraId="776C8CDE" w14:textId="77777777" w:rsidR="004033AB" w:rsidRPr="001F4107" w:rsidRDefault="004033AB" w:rsidP="001F4107">
      <w:pPr>
        <w:jc w:val="both"/>
        <w:rPr>
          <w:rFonts w:cstheme="minorHAnsi"/>
          <w:b/>
          <w:i/>
          <w:sz w:val="24"/>
          <w:szCs w:val="24"/>
          <w:lang w:val="mk-MK"/>
        </w:rPr>
      </w:pPr>
      <w:r w:rsidRPr="001F4107">
        <w:rPr>
          <w:rFonts w:cstheme="minorHAnsi"/>
          <w:b/>
          <w:i/>
          <w:sz w:val="24"/>
          <w:szCs w:val="24"/>
          <w:lang w:val="mk-MK"/>
        </w:rPr>
        <w:t>Профилакса</w:t>
      </w:r>
    </w:p>
    <w:p w14:paraId="1A65128B" w14:textId="77777777" w:rsidR="004033AB" w:rsidRPr="001F4107" w:rsidRDefault="004033AB" w:rsidP="001F4107">
      <w:pPr>
        <w:jc w:val="both"/>
        <w:rPr>
          <w:rFonts w:cstheme="minorHAnsi"/>
          <w:b/>
          <w:i/>
          <w:sz w:val="24"/>
          <w:szCs w:val="24"/>
          <w:lang w:val="mk-MK"/>
        </w:rPr>
      </w:pPr>
    </w:p>
    <w:p w14:paraId="32851592" w14:textId="77777777" w:rsidR="004033AB" w:rsidRPr="001F4107" w:rsidRDefault="004033AB" w:rsidP="007E3C2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proofErr w:type="spellStart"/>
      <w:r w:rsidRPr="001F4107">
        <w:rPr>
          <w:rFonts w:asciiTheme="minorHAnsi" w:hAnsiTheme="minorHAnsi" w:cstheme="minorHAnsi"/>
          <w:lang w:val="mk-MK"/>
        </w:rPr>
        <w:t>Ivermectin</w:t>
      </w:r>
      <w:proofErr w:type="spellEnd"/>
      <w:r w:rsidRPr="001F4107">
        <w:rPr>
          <w:rFonts w:asciiTheme="minorHAnsi" w:hAnsiTheme="minorHAnsi" w:cstheme="minorHAnsi"/>
          <w:lang w:val="mk-MK"/>
        </w:rPr>
        <w:t xml:space="preserve"> за профилакса кај високоризични индивидуи (медицински персонал што работи со COVID-19 пациенти) 0.15-0.2 </w:t>
      </w:r>
      <w:proofErr w:type="spellStart"/>
      <w:r w:rsidRPr="001F4107">
        <w:rPr>
          <w:rFonts w:asciiTheme="minorHAnsi" w:hAnsiTheme="minorHAnsi" w:cstheme="minorHAnsi"/>
          <w:lang w:val="mk-MK"/>
        </w:rPr>
        <w:t>mg</w:t>
      </w:r>
      <w:proofErr w:type="spellEnd"/>
      <w:r w:rsidRPr="001F4107">
        <w:rPr>
          <w:rFonts w:asciiTheme="minorHAnsi" w:hAnsiTheme="minorHAnsi" w:cstheme="minorHAnsi"/>
          <w:lang w:val="mk-MK"/>
        </w:rPr>
        <w:t>/</w:t>
      </w:r>
      <w:proofErr w:type="spellStart"/>
      <w:r w:rsidRPr="001F4107">
        <w:rPr>
          <w:rFonts w:asciiTheme="minorHAnsi" w:hAnsiTheme="minorHAnsi" w:cstheme="minorHAnsi"/>
          <w:lang w:val="mk-MK"/>
        </w:rPr>
        <w:t>kg</w:t>
      </w:r>
      <w:proofErr w:type="spellEnd"/>
      <w:r w:rsidRPr="001F4107">
        <w:rPr>
          <w:rFonts w:asciiTheme="minorHAnsi" w:hAnsiTheme="minorHAnsi" w:cstheme="minorHAnsi"/>
          <w:lang w:val="mk-MK"/>
        </w:rPr>
        <w:t xml:space="preserve"> телесна тежина (или 12mg) еднаш неделно додека трае експозицијата.</w:t>
      </w:r>
    </w:p>
    <w:p w14:paraId="369948EC" w14:textId="77777777" w:rsidR="004033AB" w:rsidRPr="001F4107" w:rsidRDefault="004033AB" w:rsidP="001F4107">
      <w:pPr>
        <w:pStyle w:val="Default"/>
        <w:ind w:left="360"/>
        <w:jc w:val="both"/>
        <w:rPr>
          <w:rFonts w:asciiTheme="minorHAnsi" w:hAnsiTheme="minorHAnsi" w:cstheme="minorHAnsi"/>
          <w:lang w:val="mk-MK"/>
        </w:rPr>
      </w:pPr>
    </w:p>
    <w:p w14:paraId="318F5921" w14:textId="77777777" w:rsidR="004033AB" w:rsidRPr="001F4107" w:rsidRDefault="004033AB" w:rsidP="007E3C2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proofErr w:type="spellStart"/>
      <w:r w:rsidRPr="001F4107">
        <w:rPr>
          <w:rFonts w:asciiTheme="minorHAnsi" w:hAnsiTheme="minorHAnsi" w:cstheme="minorHAnsi"/>
          <w:lang w:val="mk-MK"/>
        </w:rPr>
        <w:t>Ivermectin</w:t>
      </w:r>
      <w:proofErr w:type="spellEnd"/>
      <w:r w:rsidRPr="001F4107">
        <w:rPr>
          <w:rFonts w:asciiTheme="minorHAnsi" w:hAnsiTheme="minorHAnsi" w:cstheme="minorHAnsi"/>
          <w:lang w:val="mk-MK"/>
        </w:rPr>
        <w:t xml:space="preserve"> за после-</w:t>
      </w:r>
      <w:proofErr w:type="spellStart"/>
      <w:r w:rsidRPr="001F4107">
        <w:rPr>
          <w:rFonts w:asciiTheme="minorHAnsi" w:hAnsiTheme="minorHAnsi" w:cstheme="minorHAnsi"/>
          <w:lang w:val="mk-MK"/>
        </w:rPr>
        <w:t>експозициска</w:t>
      </w:r>
      <w:proofErr w:type="spellEnd"/>
      <w:r w:rsidRPr="001F4107">
        <w:rPr>
          <w:rFonts w:asciiTheme="minorHAnsi" w:hAnsiTheme="minorHAnsi" w:cstheme="minorHAnsi"/>
          <w:lang w:val="mk-MK"/>
        </w:rPr>
        <w:t xml:space="preserve"> профилакса (незаштитен контакт со заболено лице) 0.2 </w:t>
      </w:r>
      <w:proofErr w:type="spellStart"/>
      <w:r w:rsidRPr="001F4107">
        <w:rPr>
          <w:rFonts w:asciiTheme="minorHAnsi" w:hAnsiTheme="minorHAnsi" w:cstheme="minorHAnsi"/>
          <w:lang w:val="mk-MK"/>
        </w:rPr>
        <w:t>mg</w:t>
      </w:r>
      <w:proofErr w:type="spellEnd"/>
      <w:r w:rsidRPr="001F4107">
        <w:rPr>
          <w:rFonts w:asciiTheme="minorHAnsi" w:hAnsiTheme="minorHAnsi" w:cstheme="minorHAnsi"/>
          <w:lang w:val="mk-MK"/>
        </w:rPr>
        <w:t>/</w:t>
      </w:r>
      <w:proofErr w:type="spellStart"/>
      <w:r w:rsidRPr="001F4107">
        <w:rPr>
          <w:rFonts w:asciiTheme="minorHAnsi" w:hAnsiTheme="minorHAnsi" w:cstheme="minorHAnsi"/>
          <w:lang w:val="mk-MK"/>
        </w:rPr>
        <w:t>kg</w:t>
      </w:r>
      <w:proofErr w:type="spellEnd"/>
      <w:r w:rsidRPr="001F4107">
        <w:rPr>
          <w:rFonts w:asciiTheme="minorHAnsi" w:hAnsiTheme="minorHAnsi" w:cstheme="minorHAnsi"/>
          <w:lang w:val="mk-MK"/>
        </w:rPr>
        <w:t xml:space="preserve"> телесна тежина веднаш (или 12mg), па потоа да се повтори за 72 часа.</w:t>
      </w:r>
    </w:p>
    <w:p w14:paraId="635B2732" w14:textId="77777777" w:rsidR="004033AB" w:rsidRPr="001F4107" w:rsidRDefault="004033AB" w:rsidP="001F4107">
      <w:pPr>
        <w:pStyle w:val="Default"/>
        <w:jc w:val="both"/>
        <w:rPr>
          <w:rFonts w:asciiTheme="minorHAnsi" w:hAnsiTheme="minorHAnsi" w:cstheme="minorHAnsi"/>
          <w:lang w:val="mk-MK"/>
        </w:rPr>
      </w:pPr>
    </w:p>
    <w:p w14:paraId="3AFB8BB2" w14:textId="77777777" w:rsidR="004033AB" w:rsidRPr="001F4107" w:rsidRDefault="004033AB" w:rsidP="001F4107">
      <w:pPr>
        <w:pStyle w:val="Default"/>
        <w:ind w:left="360"/>
        <w:jc w:val="both"/>
        <w:rPr>
          <w:rFonts w:asciiTheme="minorHAnsi" w:hAnsiTheme="minorHAnsi" w:cstheme="minorHAnsi"/>
          <w:lang w:val="mk-MK"/>
        </w:rPr>
      </w:pPr>
    </w:p>
    <w:p w14:paraId="5F2B0008" w14:textId="77777777" w:rsidR="004033AB" w:rsidRPr="001F4107" w:rsidRDefault="007E3C27" w:rsidP="001F4107">
      <w:pPr>
        <w:jc w:val="both"/>
        <w:rPr>
          <w:rFonts w:cstheme="minorHAnsi"/>
          <w:b/>
          <w:i/>
          <w:sz w:val="24"/>
          <w:szCs w:val="24"/>
          <w:lang w:val="mk-MK"/>
        </w:rPr>
      </w:pPr>
      <w:r>
        <w:rPr>
          <w:rFonts w:cstheme="minorHAnsi"/>
          <w:b/>
          <w:i/>
          <w:sz w:val="24"/>
          <w:szCs w:val="24"/>
          <w:lang w:val="mk-MK"/>
        </w:rPr>
        <w:t>Терапија на</w:t>
      </w:r>
      <w:r w:rsidRPr="007E3C27">
        <w:rPr>
          <w:rFonts w:cstheme="minorHAnsi"/>
          <w:b/>
          <w:i/>
          <w:sz w:val="24"/>
          <w:szCs w:val="24"/>
          <w:lang w:val="mk-MK"/>
        </w:rPr>
        <w:t xml:space="preserve"> </w:t>
      </w:r>
      <w:proofErr w:type="spellStart"/>
      <w:r>
        <w:rPr>
          <w:rFonts w:cstheme="minorHAnsi"/>
          <w:b/>
          <w:i/>
          <w:sz w:val="24"/>
          <w:szCs w:val="24"/>
          <w:lang w:val="mk-MK"/>
        </w:rPr>
        <w:t>с</w:t>
      </w:r>
      <w:r w:rsidR="004033AB" w:rsidRPr="001F4107">
        <w:rPr>
          <w:rFonts w:cstheme="minorHAnsi"/>
          <w:b/>
          <w:i/>
          <w:sz w:val="24"/>
          <w:szCs w:val="24"/>
          <w:lang w:val="mk-MK"/>
        </w:rPr>
        <w:t>имптоматски</w:t>
      </w:r>
      <w:proofErr w:type="spellEnd"/>
      <w:r w:rsidR="004033AB" w:rsidRPr="001F4107">
        <w:rPr>
          <w:rFonts w:cstheme="minorHAnsi"/>
          <w:b/>
          <w:i/>
          <w:sz w:val="24"/>
          <w:szCs w:val="24"/>
          <w:lang w:val="mk-MK"/>
        </w:rPr>
        <w:t xml:space="preserve"> пациенти на домашно лекување или хоспитализирани </w:t>
      </w:r>
    </w:p>
    <w:p w14:paraId="0FAD20FB" w14:textId="77777777" w:rsidR="004033AB" w:rsidRPr="001F4107" w:rsidRDefault="004033AB" w:rsidP="001F4107">
      <w:pPr>
        <w:pStyle w:val="Default"/>
        <w:ind w:left="360"/>
        <w:jc w:val="both"/>
        <w:rPr>
          <w:rFonts w:asciiTheme="minorHAnsi" w:hAnsiTheme="minorHAnsi" w:cstheme="minorHAnsi"/>
          <w:lang w:val="mk-MK"/>
        </w:rPr>
      </w:pPr>
    </w:p>
    <w:p w14:paraId="7FD6EA23" w14:textId="77777777" w:rsidR="004033AB" w:rsidRPr="001F4107" w:rsidRDefault="004033AB" w:rsidP="007E3C2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lang w:val="mk-MK"/>
        </w:rPr>
      </w:pPr>
      <w:proofErr w:type="spellStart"/>
      <w:r w:rsidRPr="001F4107">
        <w:rPr>
          <w:rFonts w:asciiTheme="minorHAnsi" w:hAnsiTheme="minorHAnsi" w:cstheme="minorHAnsi"/>
          <w:lang w:val="mk-MK"/>
        </w:rPr>
        <w:t>Ivermectin</w:t>
      </w:r>
      <w:proofErr w:type="spellEnd"/>
      <w:r w:rsidRPr="001F4107">
        <w:rPr>
          <w:rFonts w:asciiTheme="minorHAnsi" w:hAnsiTheme="minorHAnsi" w:cstheme="minorHAnsi"/>
          <w:lang w:val="mk-MK"/>
        </w:rPr>
        <w:t xml:space="preserve"> 0.15-0.2 </w:t>
      </w:r>
      <w:proofErr w:type="spellStart"/>
      <w:r w:rsidRPr="001F4107">
        <w:rPr>
          <w:rFonts w:asciiTheme="minorHAnsi" w:hAnsiTheme="minorHAnsi" w:cstheme="minorHAnsi"/>
          <w:lang w:val="mk-MK"/>
        </w:rPr>
        <w:t>mg</w:t>
      </w:r>
      <w:proofErr w:type="spellEnd"/>
      <w:r w:rsidRPr="001F4107">
        <w:rPr>
          <w:rFonts w:asciiTheme="minorHAnsi" w:hAnsiTheme="minorHAnsi" w:cstheme="minorHAnsi"/>
          <w:lang w:val="mk-MK"/>
        </w:rPr>
        <w:t>/</w:t>
      </w:r>
      <w:proofErr w:type="spellStart"/>
      <w:r w:rsidRPr="001F4107">
        <w:rPr>
          <w:rFonts w:asciiTheme="minorHAnsi" w:hAnsiTheme="minorHAnsi" w:cstheme="minorHAnsi"/>
          <w:lang w:val="mk-MK"/>
        </w:rPr>
        <w:t>kg</w:t>
      </w:r>
      <w:proofErr w:type="spellEnd"/>
      <w:r w:rsidRPr="001F4107">
        <w:rPr>
          <w:rFonts w:asciiTheme="minorHAnsi" w:hAnsiTheme="minorHAnsi" w:cstheme="minorHAnsi"/>
          <w:lang w:val="mk-MK"/>
        </w:rPr>
        <w:t xml:space="preserve"> телесна тежина преку уста (која се повторува на вториот ден). </w:t>
      </w:r>
      <w:proofErr w:type="spellStart"/>
      <w:r w:rsidRPr="001F4107">
        <w:rPr>
          <w:rFonts w:asciiTheme="minorHAnsi" w:hAnsiTheme="minorHAnsi" w:cstheme="minorHAnsi"/>
          <w:lang w:val="mk-MK"/>
        </w:rPr>
        <w:t>Алернативна</w:t>
      </w:r>
      <w:proofErr w:type="spellEnd"/>
      <w:r w:rsidRPr="001F4107">
        <w:rPr>
          <w:rFonts w:asciiTheme="minorHAnsi" w:hAnsiTheme="minorHAnsi" w:cstheme="minorHAnsi"/>
          <w:lang w:val="mk-MK"/>
        </w:rPr>
        <w:t xml:space="preserve"> стратегија е доза од 12mg во првите 24 часа на почетокот на симптомите и потоа да се повтори по 24 часа [57-79] Види Слика 1</w:t>
      </w:r>
    </w:p>
    <w:p w14:paraId="72E14051" w14:textId="77777777" w:rsidR="004033AB" w:rsidRPr="001F4107" w:rsidRDefault="004033AB" w:rsidP="001F4107">
      <w:pPr>
        <w:pStyle w:val="Default"/>
        <w:ind w:left="360"/>
        <w:jc w:val="both"/>
        <w:rPr>
          <w:rFonts w:asciiTheme="minorHAnsi" w:hAnsiTheme="minorHAnsi" w:cstheme="minorHAnsi"/>
          <w:lang w:val="mk-MK"/>
        </w:rPr>
      </w:pPr>
    </w:p>
    <w:p w14:paraId="466D4A27" w14:textId="77777777" w:rsidR="004033AB" w:rsidRPr="001F4107" w:rsidRDefault="004033AB" w:rsidP="001F4107">
      <w:pPr>
        <w:jc w:val="both"/>
        <w:rPr>
          <w:rFonts w:cstheme="minorHAnsi"/>
          <w:b/>
          <w:sz w:val="24"/>
          <w:szCs w:val="24"/>
          <w:lang w:val="mk-MK"/>
        </w:rPr>
      </w:pPr>
    </w:p>
    <w:p w14:paraId="69C29534" w14:textId="77777777" w:rsidR="0067394C" w:rsidRPr="001F4107" w:rsidRDefault="0067394C" w:rsidP="001F4107">
      <w:pPr>
        <w:jc w:val="both"/>
        <w:rPr>
          <w:rFonts w:cstheme="minorHAnsi"/>
          <w:b/>
          <w:sz w:val="24"/>
          <w:szCs w:val="24"/>
          <w:lang w:val="mk-MK"/>
        </w:rPr>
      </w:pPr>
    </w:p>
    <w:p w14:paraId="68E2E054" w14:textId="77777777" w:rsidR="0067394C" w:rsidRPr="001F4107" w:rsidRDefault="0067394C" w:rsidP="001F4107">
      <w:pPr>
        <w:jc w:val="both"/>
        <w:rPr>
          <w:rFonts w:cstheme="minorHAnsi"/>
          <w:b/>
          <w:sz w:val="24"/>
          <w:szCs w:val="24"/>
          <w:lang w:val="mk-MK"/>
        </w:rPr>
      </w:pPr>
    </w:p>
    <w:p w14:paraId="62C4DAB1" w14:textId="77777777" w:rsidR="0067394C" w:rsidRPr="001F4107" w:rsidRDefault="0067394C" w:rsidP="001F4107">
      <w:pPr>
        <w:jc w:val="both"/>
        <w:rPr>
          <w:rFonts w:cstheme="minorHAnsi"/>
          <w:b/>
          <w:sz w:val="24"/>
          <w:szCs w:val="24"/>
          <w:lang w:val="mk-MK"/>
        </w:rPr>
      </w:pPr>
    </w:p>
    <w:p w14:paraId="3506B2E2" w14:textId="77777777" w:rsidR="0067394C" w:rsidRPr="001F4107" w:rsidRDefault="0067394C" w:rsidP="001F4107">
      <w:pPr>
        <w:jc w:val="both"/>
        <w:rPr>
          <w:rFonts w:cstheme="minorHAnsi"/>
          <w:b/>
          <w:sz w:val="24"/>
          <w:szCs w:val="24"/>
          <w:lang w:val="mk-MK"/>
        </w:rPr>
      </w:pPr>
    </w:p>
    <w:p w14:paraId="5D09683C" w14:textId="77777777" w:rsidR="0067394C" w:rsidRPr="001F4107" w:rsidRDefault="0067394C" w:rsidP="001F4107">
      <w:pPr>
        <w:jc w:val="both"/>
        <w:rPr>
          <w:rFonts w:cstheme="minorHAnsi"/>
          <w:b/>
          <w:sz w:val="24"/>
          <w:szCs w:val="24"/>
          <w:lang w:val="mk-MK"/>
        </w:rPr>
      </w:pPr>
    </w:p>
    <w:p w14:paraId="4CF0A15C" w14:textId="77777777" w:rsidR="0067394C" w:rsidRPr="001F4107" w:rsidRDefault="0067394C" w:rsidP="001F4107">
      <w:pPr>
        <w:jc w:val="both"/>
        <w:rPr>
          <w:rFonts w:cstheme="minorHAnsi"/>
          <w:b/>
          <w:sz w:val="24"/>
          <w:szCs w:val="24"/>
          <w:lang w:val="mk-MK"/>
        </w:rPr>
      </w:pPr>
    </w:p>
    <w:p w14:paraId="466B1EEA" w14:textId="77777777" w:rsidR="004033AB" w:rsidRPr="001F4107" w:rsidRDefault="004033AB" w:rsidP="001F4107">
      <w:pPr>
        <w:jc w:val="both"/>
        <w:rPr>
          <w:rFonts w:cstheme="minorHAnsi"/>
          <w:b/>
          <w:sz w:val="24"/>
          <w:szCs w:val="24"/>
          <w:lang w:val="mk-MK"/>
        </w:rPr>
      </w:pPr>
      <w:r w:rsidRPr="001F4107">
        <w:rPr>
          <w:rFonts w:cstheme="minorHAnsi"/>
          <w:b/>
          <w:sz w:val="24"/>
          <w:szCs w:val="24"/>
          <w:lang w:val="mk-MK"/>
        </w:rPr>
        <w:t xml:space="preserve">Слика 1. Мета-анализа со </w:t>
      </w:r>
      <w:proofErr w:type="spellStart"/>
      <w:r w:rsidRPr="001F4107">
        <w:rPr>
          <w:rFonts w:cstheme="minorHAnsi"/>
          <w:b/>
          <w:sz w:val="24"/>
          <w:szCs w:val="24"/>
          <w:lang w:val="mk-MK"/>
        </w:rPr>
        <w:t>Ivermectin</w:t>
      </w:r>
      <w:proofErr w:type="spellEnd"/>
      <w:r w:rsidRPr="001F4107">
        <w:rPr>
          <w:rFonts w:cstheme="minorHAnsi"/>
          <w:b/>
          <w:sz w:val="24"/>
          <w:szCs w:val="24"/>
          <w:lang w:val="mk-MK"/>
        </w:rPr>
        <w:t xml:space="preserve"> клинички студии</w:t>
      </w:r>
    </w:p>
    <w:p w14:paraId="168DBE58" w14:textId="77777777" w:rsidR="004033AB" w:rsidRPr="001F4107" w:rsidRDefault="004033AB" w:rsidP="001F4107">
      <w:pPr>
        <w:jc w:val="both"/>
        <w:rPr>
          <w:rFonts w:cstheme="minorHAnsi"/>
          <w:b/>
          <w:sz w:val="24"/>
          <w:szCs w:val="24"/>
          <w:lang w:val="mk-MK"/>
        </w:rPr>
      </w:pPr>
    </w:p>
    <w:p w14:paraId="56CBE672" w14:textId="77777777" w:rsidR="004033AB" w:rsidRPr="001F4107" w:rsidRDefault="004033AB" w:rsidP="001F4107">
      <w:pPr>
        <w:jc w:val="both"/>
        <w:rPr>
          <w:rFonts w:cstheme="minorHAnsi"/>
          <w:b/>
          <w:sz w:val="24"/>
          <w:szCs w:val="24"/>
          <w:lang w:val="mk-MK"/>
        </w:rPr>
      </w:pPr>
      <w:r w:rsidRPr="001F4107">
        <w:rPr>
          <w:rFonts w:cstheme="minorHAnsi"/>
          <w:b/>
          <w:noProof/>
          <w:sz w:val="24"/>
          <w:szCs w:val="24"/>
          <w:lang w:val="mk-MK" w:eastAsia="mk-MK"/>
        </w:rPr>
        <w:drawing>
          <wp:inline distT="0" distB="0" distL="0" distR="0" wp14:anchorId="629BC2F3" wp14:editId="0C92CAC9">
            <wp:extent cx="6302876" cy="266954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617" cy="267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49142" w14:textId="77777777" w:rsidR="004033AB" w:rsidRPr="001F4107" w:rsidRDefault="004033AB" w:rsidP="001F4107">
      <w:pPr>
        <w:jc w:val="both"/>
        <w:rPr>
          <w:rFonts w:cstheme="minorHAnsi"/>
          <w:b/>
          <w:sz w:val="24"/>
          <w:szCs w:val="24"/>
          <w:lang w:val="mk-MK"/>
        </w:rPr>
      </w:pPr>
    </w:p>
    <w:p w14:paraId="325575C2" w14:textId="77777777" w:rsidR="00D8722E" w:rsidRPr="001F4107" w:rsidRDefault="004B4BCF" w:rsidP="001F4107">
      <w:pPr>
        <w:pStyle w:val="Default"/>
        <w:jc w:val="both"/>
        <w:rPr>
          <w:rFonts w:asciiTheme="minorHAnsi" w:hAnsiTheme="minorHAnsi" w:cstheme="minorHAnsi"/>
          <w:b/>
          <w:szCs w:val="20"/>
          <w:lang w:val="mk-MK"/>
        </w:rPr>
      </w:pPr>
      <w:r w:rsidRPr="001F4107">
        <w:rPr>
          <w:rFonts w:asciiTheme="minorHAnsi" w:hAnsiTheme="minorHAnsi" w:cstheme="minorHAnsi"/>
          <w:b/>
          <w:szCs w:val="20"/>
          <w:lang w:val="mk-MK"/>
        </w:rPr>
        <w:t>Литература:</w:t>
      </w:r>
    </w:p>
    <w:p w14:paraId="139352B8" w14:textId="77777777" w:rsidR="0067394C" w:rsidRPr="001F4107" w:rsidRDefault="0067394C" w:rsidP="001F4107">
      <w:pPr>
        <w:pStyle w:val="Default"/>
        <w:jc w:val="both"/>
        <w:rPr>
          <w:rFonts w:asciiTheme="minorHAnsi" w:hAnsiTheme="minorHAnsi" w:cstheme="minorHAnsi"/>
          <w:b/>
          <w:szCs w:val="20"/>
          <w:lang w:val="mk-MK"/>
        </w:rPr>
      </w:pPr>
    </w:p>
    <w:p w14:paraId="15D91C03" w14:textId="77777777" w:rsidR="0067394C" w:rsidRPr="001F4107" w:rsidRDefault="0067394C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 xml:space="preserve">1. </w:t>
      </w:r>
      <w:proofErr w:type="spellStart"/>
      <w:r w:rsidRPr="001F4107">
        <w:rPr>
          <w:rFonts w:asciiTheme="minorHAnsi" w:hAnsiTheme="minorHAnsi" w:cstheme="minorHAnsi"/>
          <w:sz w:val="20"/>
          <w:szCs w:val="20"/>
        </w:rPr>
        <w:t>Caly</w:t>
      </w:r>
      <w:proofErr w:type="spellEnd"/>
      <w:r w:rsidRPr="001F4107">
        <w:rPr>
          <w:rFonts w:asciiTheme="minorHAnsi" w:hAnsiTheme="minorHAnsi" w:cstheme="minorHAnsi"/>
          <w:sz w:val="20"/>
          <w:szCs w:val="20"/>
        </w:rPr>
        <w:t xml:space="preserve"> L, </w:t>
      </w:r>
      <w:proofErr w:type="spellStart"/>
      <w:r w:rsidRPr="001F4107">
        <w:rPr>
          <w:rFonts w:asciiTheme="minorHAnsi" w:hAnsiTheme="minorHAnsi" w:cstheme="minorHAnsi"/>
          <w:sz w:val="20"/>
          <w:szCs w:val="20"/>
        </w:rPr>
        <w:t>Druce</w:t>
      </w:r>
      <w:proofErr w:type="spellEnd"/>
      <w:r w:rsidRPr="001F4107">
        <w:rPr>
          <w:rFonts w:asciiTheme="minorHAnsi" w:hAnsiTheme="minorHAnsi" w:cstheme="minorHAnsi"/>
          <w:sz w:val="20"/>
          <w:szCs w:val="20"/>
        </w:rPr>
        <w:t xml:space="preserve"> JD, Catton MG, </w:t>
      </w:r>
      <w:proofErr w:type="spellStart"/>
      <w:r w:rsidRPr="001F4107">
        <w:rPr>
          <w:rFonts w:asciiTheme="minorHAnsi" w:hAnsiTheme="minorHAnsi" w:cstheme="minorHAnsi"/>
          <w:sz w:val="20"/>
          <w:szCs w:val="20"/>
        </w:rPr>
        <w:t>Jans</w:t>
      </w:r>
      <w:proofErr w:type="spellEnd"/>
      <w:r w:rsidRPr="001F4107">
        <w:rPr>
          <w:rFonts w:asciiTheme="minorHAnsi" w:hAnsiTheme="minorHAnsi" w:cstheme="minorHAnsi"/>
          <w:sz w:val="20"/>
          <w:szCs w:val="20"/>
        </w:rPr>
        <w:t xml:space="preserve"> DA, Wagstaff KM. The FDA-approved drug Ivermectin inhibits the replication of SARS-CoV-2 in vitro. Antiviral Res 2020. </w:t>
      </w:r>
    </w:p>
    <w:p w14:paraId="45145749" w14:textId="77777777" w:rsidR="0067394C" w:rsidRPr="001F4107" w:rsidRDefault="0067394C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 xml:space="preserve">2. Lehrer S, </w:t>
      </w:r>
      <w:proofErr w:type="spellStart"/>
      <w:r w:rsidRPr="001F4107">
        <w:rPr>
          <w:rFonts w:asciiTheme="minorHAnsi" w:hAnsiTheme="minorHAnsi" w:cstheme="minorHAnsi"/>
          <w:sz w:val="20"/>
          <w:szCs w:val="20"/>
        </w:rPr>
        <w:t>Rheinstein</w:t>
      </w:r>
      <w:proofErr w:type="spellEnd"/>
      <w:r w:rsidRPr="001F4107">
        <w:rPr>
          <w:rFonts w:asciiTheme="minorHAnsi" w:hAnsiTheme="minorHAnsi" w:cstheme="minorHAnsi"/>
          <w:sz w:val="20"/>
          <w:szCs w:val="20"/>
        </w:rPr>
        <w:t xml:space="preserve"> PH. Ivermectin docks to the SARS-CoV-2 spike receptor-binding domain attached to ACE2. In Vivo 2020; 34:3023-6. </w:t>
      </w:r>
    </w:p>
    <w:p w14:paraId="38656E33" w14:textId="77777777" w:rsidR="0067394C" w:rsidRPr="001F4107" w:rsidRDefault="0067394C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 xml:space="preserve">3. Maurya DK. A combination of Ivermectin and Doxycycline possibly blocks the viral entry and modulate the innate immune response in COVID-19 patients. </w:t>
      </w:r>
      <w:proofErr w:type="spellStart"/>
      <w:r w:rsidRPr="001F4107">
        <w:rPr>
          <w:rFonts w:asciiTheme="minorHAnsi" w:hAnsiTheme="minorHAnsi" w:cstheme="minorHAnsi"/>
          <w:sz w:val="20"/>
          <w:szCs w:val="20"/>
        </w:rPr>
        <w:t>ChemRxiv</w:t>
      </w:r>
      <w:proofErr w:type="spellEnd"/>
      <w:r w:rsidRPr="001F4107">
        <w:rPr>
          <w:rFonts w:asciiTheme="minorHAnsi" w:hAnsiTheme="minorHAnsi" w:cstheme="minorHAnsi"/>
          <w:sz w:val="20"/>
          <w:szCs w:val="20"/>
        </w:rPr>
        <w:t xml:space="preserve"> 2020. </w:t>
      </w:r>
    </w:p>
    <w:p w14:paraId="26417CD6" w14:textId="77777777" w:rsidR="00D8722E" w:rsidRPr="001F4107" w:rsidRDefault="0067394C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4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Caly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L,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Druce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JD, Catton MG,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Jans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DA, Wagstaff KM. The FDA-approved drug Ivermectin inhibits the replication of SARS-CoV-2 in vitro. Antiviral Res 2020. </w:t>
      </w:r>
    </w:p>
    <w:p w14:paraId="395EDD35" w14:textId="77777777" w:rsidR="00D8722E" w:rsidRPr="001F4107" w:rsidRDefault="0067394C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5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Lehrer S,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Rheinstein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PH. Ivermectin docks to the SARS-CoV-2 spike receptor-binding domain attached to ACE2. In Vivo 2020; 34:3023-6. </w:t>
      </w:r>
    </w:p>
    <w:p w14:paraId="07590E54" w14:textId="77777777" w:rsidR="00647CAA" w:rsidRPr="001F4107" w:rsidRDefault="0067394C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6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Maurya DK. A combination of Ivermectin and Doxycycline possibly blocks the viral entry and modulate the innate immune response in COVID-19 patients.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ChemRxiv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2020. </w:t>
      </w:r>
    </w:p>
    <w:p w14:paraId="7E875858" w14:textId="77777777" w:rsidR="00D8722E" w:rsidRPr="001F4107" w:rsidRDefault="0067394C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7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Yang SN, Atkinson SC, Wang C, Lee A. The broad spectrum antiviral ivermectin targets the host nuclear transport importin alpha/beta1 heterodimer. Antiviral Res 2020; 177:104760. </w:t>
      </w:r>
    </w:p>
    <w:p w14:paraId="29553223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8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Swargiary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A. Ivermectin as a promising RNA-dependent RNA polymerase inhibitor and a therapeutic drug against SARS-CoV2: Evidence from silico studies. Research Square 2020. </w:t>
      </w:r>
    </w:p>
    <w:p w14:paraId="44714075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9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Zhang X, Song Y, Ci X, An N, Ju Y. Ivermectin inhibits LPS-induced production of inflammatory cytokines and improves LPS-induced survival in mice.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Inflamm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Res 2008; 57:524-9. </w:t>
      </w:r>
    </w:p>
    <w:p w14:paraId="47C296E1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lastRenderedPageBreak/>
        <w:t>10</w:t>
      </w:r>
      <w:r w:rsidR="00D8722E" w:rsidRPr="001F4107">
        <w:rPr>
          <w:rFonts w:asciiTheme="minorHAnsi" w:hAnsiTheme="minorHAnsi" w:cstheme="minorHAnsi"/>
          <w:sz w:val="20"/>
          <w:szCs w:val="20"/>
        </w:rPr>
        <w:t>. Ci X, Li H,</w:t>
      </w:r>
      <w:r w:rsidR="0067394C" w:rsidRPr="001F4107">
        <w:rPr>
          <w:rFonts w:asciiTheme="minorHAnsi" w:hAnsiTheme="minorHAnsi" w:cstheme="minorHAnsi"/>
          <w:sz w:val="20"/>
          <w:szCs w:val="20"/>
        </w:rPr>
        <w:t xml:space="preserve"> Yu Q et al. I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vermectin exerts anti-inflammatory effect by downregulating the nuclear transcription factor kappa-B and mitogen activated protein kinase pathway. Fundamental &amp; Clinical Pharmacology 2009; 23:449-55. </w:t>
      </w:r>
    </w:p>
    <w:p w14:paraId="0F230F6E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11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Rajter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JC, Sherman MS,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Fatteh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N, Vogel F, Sacks J,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Rajter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JJ. ICON (Ivermectin in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COvid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Ninteen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) study: Use of ivermectin is associated with lower mortality in hospitalized patients with COVID-19. Chest 2020. </w:t>
      </w:r>
    </w:p>
    <w:p w14:paraId="4F13B2B2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12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Gorial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FI,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Mashhadani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S,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Sayaly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HM,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Dakhil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BD,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AlMashhadani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MM. Effectiveness of Ivermectin as add-on therapy in COVID-19 management (Pilot Trial).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medRxiv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2020. </w:t>
      </w:r>
    </w:p>
    <w:p w14:paraId="41BB384C" w14:textId="77777777" w:rsidR="00647CAA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13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Khan MS, Khan MS, Debnath Cr, Nath PN,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Mahtab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MA. Ivermectin treatment may improve the prognosis of patients with COVID-19.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Arch</w:t>
      </w:r>
      <w:r w:rsidRPr="001F4107">
        <w:rPr>
          <w:rFonts w:asciiTheme="minorHAnsi" w:hAnsiTheme="minorHAnsi" w:cstheme="minorHAnsi"/>
          <w:sz w:val="20"/>
          <w:szCs w:val="20"/>
        </w:rPr>
        <w:t>ivos</w:t>
      </w:r>
      <w:proofErr w:type="spellEnd"/>
      <w:r w:rsidRPr="001F4107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1F4107">
        <w:rPr>
          <w:rFonts w:asciiTheme="minorHAnsi" w:hAnsiTheme="minorHAnsi" w:cstheme="minorHAnsi"/>
          <w:sz w:val="20"/>
          <w:szCs w:val="20"/>
        </w:rPr>
        <w:t>Bronconeumologia</w:t>
      </w:r>
      <w:proofErr w:type="spellEnd"/>
      <w:r w:rsidRPr="001F4107">
        <w:rPr>
          <w:rFonts w:asciiTheme="minorHAnsi" w:hAnsiTheme="minorHAnsi" w:cstheme="minorHAnsi"/>
          <w:sz w:val="20"/>
          <w:szCs w:val="20"/>
        </w:rPr>
        <w:t xml:space="preserve"> 2020. </w:t>
      </w:r>
    </w:p>
    <w:p w14:paraId="466B8916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14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.Hashim HA,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Maulood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MF,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rasheed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AM,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Fatak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DF,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Kabah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KK. Controlled randomized clinical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triaal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on using Ivermectin with Doxycycline for treating COVID-19 patients in Bagdad, Iraq.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medRxiv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2020. </w:t>
      </w:r>
    </w:p>
    <w:p w14:paraId="2676E3CA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15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Murshed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MR,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Bhiuyan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E, Saber S,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Alam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RF, Robin RF. A case series of 100 COVID-19 positive patients treated with combination of Ivermectin and Doxycycline. Bangladesh Coll Phys Surg 2020; 38:10-5. </w:t>
      </w:r>
    </w:p>
    <w:p w14:paraId="3A0D8B35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16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Chamie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J. Real-World evidence: The case of Peru,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casuality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between Ivermectin and COVID-19 infection fatality rate. ResearchGate 2020. </w:t>
      </w:r>
    </w:p>
    <w:p w14:paraId="34A24D64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17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Patel AN, Desai SS, Grainger DW,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Mehra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MR. Usefulness of ivermectin in COVID-19 illness.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medRxiv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2020. </w:t>
      </w:r>
    </w:p>
    <w:p w14:paraId="517FC6B3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18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Jans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DA, Wagstaff KM. Ivermectin as a broad-spectrum host directed anti-viral: The real deal. Cells 2020; 9:2100. </w:t>
      </w:r>
    </w:p>
    <w:p w14:paraId="2DF6A4E8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19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DiNicolantonio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JJ, Barroso-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Arranda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J, McCarty M. Ivermectin may be a clinically useful anti-inflammatory agent for late-stage COVID-19. Open Heart 2020; </w:t>
      </w:r>
      <w:proofErr w:type="gramStart"/>
      <w:r w:rsidR="00D8722E" w:rsidRPr="001F4107">
        <w:rPr>
          <w:rFonts w:asciiTheme="minorHAnsi" w:hAnsiTheme="minorHAnsi" w:cstheme="minorHAnsi"/>
          <w:sz w:val="20"/>
          <w:szCs w:val="20"/>
        </w:rPr>
        <w:t>7:e</w:t>
      </w:r>
      <w:proofErr w:type="gram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001350. </w:t>
      </w:r>
    </w:p>
    <w:p w14:paraId="6A2136FD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20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Sharun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K,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Dhama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K, Patel SK, Pathak M, Tiwari R. Ivermectin, a new candidate therapeutic against SARS-CoV-2/COVID-19. Ann Clin Microbiol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Antimicrob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2020; 19:23. </w:t>
      </w:r>
    </w:p>
    <w:p w14:paraId="17477888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21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Peralta EG,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Fimia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-Duarte R, Cardenas JW, Dominguez DV, Segura RB. Ivermectin, a drug to be considered for the prevention and treatment of SARS-CoV-2. Brief literature review. EC Veterinary Science 2020; 5:25-9. </w:t>
      </w:r>
    </w:p>
    <w:p w14:paraId="2BE7AD1C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22</w:t>
      </w:r>
      <w:r w:rsidR="00D8722E" w:rsidRPr="001F4107">
        <w:rPr>
          <w:rFonts w:asciiTheme="minorHAnsi" w:hAnsiTheme="minorHAnsi" w:cstheme="minorHAnsi"/>
          <w:sz w:val="20"/>
          <w:szCs w:val="20"/>
        </w:rPr>
        <w:t>. Al-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Jassim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KB, Jawad AA, Al-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Masoudi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EA, Majeed SK. Histopathological and biochemical effects of ivermectin on kidney functions, lung and the ameliorative effects of vitamin C in rabbits. Bas J Vet Res 2016; 14:110-24. </w:t>
      </w:r>
    </w:p>
    <w:p w14:paraId="71E8CB62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F4107">
        <w:rPr>
          <w:rFonts w:asciiTheme="minorHAnsi" w:hAnsiTheme="minorHAnsi" w:cstheme="minorHAnsi"/>
          <w:sz w:val="20"/>
          <w:szCs w:val="20"/>
        </w:rPr>
        <w:t>23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Mudatsir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M,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Yufika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A,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Nainu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F,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Frediansyah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A, Megawati D. Antiviral activity of ivermectin against SARS-CoV-2: an old-fashioned dog with a new trick- Literature review. Sci Pharm 2020; 88:36. </w:t>
      </w:r>
    </w:p>
    <w:p w14:paraId="0ACF61FF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24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Carvallo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H, Hirsch R,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Farinella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ME. Safety and efficacy of the combined use of Ivermectin, dexamethasone, enoxaparin and aspirin against COVID-19.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medRxiv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2020. </w:t>
      </w:r>
    </w:p>
    <w:p w14:paraId="50EF1C9F" w14:textId="77777777" w:rsidR="00D8722E" w:rsidRPr="001F4107" w:rsidRDefault="00647CAA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F4107">
        <w:rPr>
          <w:rFonts w:asciiTheme="minorHAnsi" w:hAnsiTheme="minorHAnsi" w:cstheme="minorHAnsi"/>
          <w:sz w:val="20"/>
          <w:szCs w:val="20"/>
        </w:rPr>
        <w:t>25</w:t>
      </w:r>
      <w:r w:rsidR="00D8722E" w:rsidRPr="001F4107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Kircik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LH, Del Rosso JQ, Layton AM, </w:t>
      </w:r>
      <w:proofErr w:type="spellStart"/>
      <w:r w:rsidR="00D8722E" w:rsidRPr="001F4107">
        <w:rPr>
          <w:rFonts w:asciiTheme="minorHAnsi" w:hAnsiTheme="minorHAnsi" w:cstheme="minorHAnsi"/>
          <w:sz w:val="20"/>
          <w:szCs w:val="20"/>
        </w:rPr>
        <w:t>schauber</w:t>
      </w:r>
      <w:proofErr w:type="spellEnd"/>
      <w:r w:rsidR="00D8722E" w:rsidRPr="001F4107">
        <w:rPr>
          <w:rFonts w:asciiTheme="minorHAnsi" w:hAnsiTheme="minorHAnsi" w:cstheme="minorHAnsi"/>
          <w:sz w:val="20"/>
          <w:szCs w:val="20"/>
        </w:rPr>
        <w:t xml:space="preserve"> J. Over 25 years of clinical experience with Ivermectin: An overview of safety for an increasing number of indications. J Drugs Dermatol 2016; 15:325-32. </w:t>
      </w:r>
    </w:p>
    <w:p w14:paraId="0029E751" w14:textId="77777777" w:rsidR="0067394C" w:rsidRPr="001F4107" w:rsidRDefault="0067394C" w:rsidP="001F41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sectPr w:rsidR="0067394C" w:rsidRPr="001F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22A"/>
    <w:multiLevelType w:val="multilevel"/>
    <w:tmpl w:val="7720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C43EB"/>
    <w:multiLevelType w:val="multilevel"/>
    <w:tmpl w:val="A344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644DA"/>
    <w:multiLevelType w:val="multilevel"/>
    <w:tmpl w:val="5F9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713B3"/>
    <w:multiLevelType w:val="multilevel"/>
    <w:tmpl w:val="BBCA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46DF8"/>
    <w:multiLevelType w:val="multilevel"/>
    <w:tmpl w:val="1F5E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912741"/>
    <w:multiLevelType w:val="hybridMultilevel"/>
    <w:tmpl w:val="3F04E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BF6C44"/>
    <w:multiLevelType w:val="multilevel"/>
    <w:tmpl w:val="86DE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DD5FDB"/>
    <w:multiLevelType w:val="multilevel"/>
    <w:tmpl w:val="4660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6A03A8"/>
    <w:multiLevelType w:val="multilevel"/>
    <w:tmpl w:val="08DC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670DBC"/>
    <w:multiLevelType w:val="multilevel"/>
    <w:tmpl w:val="0D20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8B375B"/>
    <w:multiLevelType w:val="hybridMultilevel"/>
    <w:tmpl w:val="78248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463B41"/>
    <w:multiLevelType w:val="multilevel"/>
    <w:tmpl w:val="F18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CC6610"/>
    <w:multiLevelType w:val="multilevel"/>
    <w:tmpl w:val="7ED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8"/>
  </w:num>
  <w:num w:numId="11">
    <w:abstractNumId w:val="0"/>
  </w:num>
  <w:num w:numId="12">
    <w:abstractNumId w:val="7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C7"/>
    <w:rsid w:val="0001070C"/>
    <w:rsid w:val="00017F08"/>
    <w:rsid w:val="00027457"/>
    <w:rsid w:val="00027B93"/>
    <w:rsid w:val="00033E37"/>
    <w:rsid w:val="00041E21"/>
    <w:rsid w:val="000427FC"/>
    <w:rsid w:val="00080600"/>
    <w:rsid w:val="0009167E"/>
    <w:rsid w:val="000B59D6"/>
    <w:rsid w:val="000B5E86"/>
    <w:rsid w:val="000B72F6"/>
    <w:rsid w:val="000C3BBB"/>
    <w:rsid w:val="000C6473"/>
    <w:rsid w:val="000E1CD3"/>
    <w:rsid w:val="000E6C2E"/>
    <w:rsid w:val="000F3209"/>
    <w:rsid w:val="00106EDC"/>
    <w:rsid w:val="001427BD"/>
    <w:rsid w:val="001710EE"/>
    <w:rsid w:val="001847CD"/>
    <w:rsid w:val="00190A46"/>
    <w:rsid w:val="001962D9"/>
    <w:rsid w:val="001C5A58"/>
    <w:rsid w:val="001E4256"/>
    <w:rsid w:val="001E6AB6"/>
    <w:rsid w:val="001F4107"/>
    <w:rsid w:val="00227A5F"/>
    <w:rsid w:val="002321FC"/>
    <w:rsid w:val="00240A7F"/>
    <w:rsid w:val="002433AF"/>
    <w:rsid w:val="00255062"/>
    <w:rsid w:val="00256534"/>
    <w:rsid w:val="0025742C"/>
    <w:rsid w:val="00281E24"/>
    <w:rsid w:val="002B05C4"/>
    <w:rsid w:val="002B79EB"/>
    <w:rsid w:val="002C4264"/>
    <w:rsid w:val="002C5F48"/>
    <w:rsid w:val="002D1636"/>
    <w:rsid w:val="002D211B"/>
    <w:rsid w:val="002E57C3"/>
    <w:rsid w:val="00323AF6"/>
    <w:rsid w:val="00326B3F"/>
    <w:rsid w:val="003277E7"/>
    <w:rsid w:val="00345DDA"/>
    <w:rsid w:val="00366904"/>
    <w:rsid w:val="003710D4"/>
    <w:rsid w:val="00371252"/>
    <w:rsid w:val="003860AD"/>
    <w:rsid w:val="003864C7"/>
    <w:rsid w:val="003A5DBB"/>
    <w:rsid w:val="003A7E4F"/>
    <w:rsid w:val="003B5944"/>
    <w:rsid w:val="003B6D9A"/>
    <w:rsid w:val="003D7157"/>
    <w:rsid w:val="003F202E"/>
    <w:rsid w:val="004033AB"/>
    <w:rsid w:val="004209B0"/>
    <w:rsid w:val="0042708B"/>
    <w:rsid w:val="00435AE8"/>
    <w:rsid w:val="00445341"/>
    <w:rsid w:val="00463200"/>
    <w:rsid w:val="00473F38"/>
    <w:rsid w:val="004839CF"/>
    <w:rsid w:val="00483F94"/>
    <w:rsid w:val="00487D9F"/>
    <w:rsid w:val="004B11A8"/>
    <w:rsid w:val="004B2CD9"/>
    <w:rsid w:val="004B4BCF"/>
    <w:rsid w:val="004D7CAE"/>
    <w:rsid w:val="004E01C0"/>
    <w:rsid w:val="004F0EDB"/>
    <w:rsid w:val="00514545"/>
    <w:rsid w:val="005321C5"/>
    <w:rsid w:val="005537D0"/>
    <w:rsid w:val="00554A9A"/>
    <w:rsid w:val="00555B44"/>
    <w:rsid w:val="00556DF4"/>
    <w:rsid w:val="00582D68"/>
    <w:rsid w:val="00590842"/>
    <w:rsid w:val="005A0AFE"/>
    <w:rsid w:val="005B078E"/>
    <w:rsid w:val="005B6D3A"/>
    <w:rsid w:val="005D0725"/>
    <w:rsid w:val="005E1DC6"/>
    <w:rsid w:val="005E60D5"/>
    <w:rsid w:val="005F77FD"/>
    <w:rsid w:val="00601A6B"/>
    <w:rsid w:val="00622940"/>
    <w:rsid w:val="00640244"/>
    <w:rsid w:val="0064542A"/>
    <w:rsid w:val="00647CAA"/>
    <w:rsid w:val="006532E4"/>
    <w:rsid w:val="0067394C"/>
    <w:rsid w:val="00690020"/>
    <w:rsid w:val="006C74EC"/>
    <w:rsid w:val="006D3F94"/>
    <w:rsid w:val="006E672F"/>
    <w:rsid w:val="00733C97"/>
    <w:rsid w:val="00736C3F"/>
    <w:rsid w:val="00776552"/>
    <w:rsid w:val="007854A1"/>
    <w:rsid w:val="007A2BFC"/>
    <w:rsid w:val="007B1894"/>
    <w:rsid w:val="007B4384"/>
    <w:rsid w:val="007C78E2"/>
    <w:rsid w:val="007E3C27"/>
    <w:rsid w:val="007F6079"/>
    <w:rsid w:val="00823797"/>
    <w:rsid w:val="00826FF1"/>
    <w:rsid w:val="008503B7"/>
    <w:rsid w:val="008515E2"/>
    <w:rsid w:val="0085590F"/>
    <w:rsid w:val="00863A73"/>
    <w:rsid w:val="008729B9"/>
    <w:rsid w:val="00877830"/>
    <w:rsid w:val="008816B5"/>
    <w:rsid w:val="00881EF6"/>
    <w:rsid w:val="008B5802"/>
    <w:rsid w:val="008E716C"/>
    <w:rsid w:val="00903AA7"/>
    <w:rsid w:val="00906E98"/>
    <w:rsid w:val="00920EDF"/>
    <w:rsid w:val="009315F8"/>
    <w:rsid w:val="0095234A"/>
    <w:rsid w:val="009945ED"/>
    <w:rsid w:val="00994C19"/>
    <w:rsid w:val="009A7590"/>
    <w:rsid w:val="009B049B"/>
    <w:rsid w:val="009B5282"/>
    <w:rsid w:val="009D52FD"/>
    <w:rsid w:val="009F7954"/>
    <w:rsid w:val="00A03E46"/>
    <w:rsid w:val="00A16E40"/>
    <w:rsid w:val="00A23472"/>
    <w:rsid w:val="00A30671"/>
    <w:rsid w:val="00A31754"/>
    <w:rsid w:val="00A37C93"/>
    <w:rsid w:val="00A42FAB"/>
    <w:rsid w:val="00A54839"/>
    <w:rsid w:val="00A611B0"/>
    <w:rsid w:val="00A624EE"/>
    <w:rsid w:val="00A715DD"/>
    <w:rsid w:val="00A8158C"/>
    <w:rsid w:val="00A97D94"/>
    <w:rsid w:val="00AC13B1"/>
    <w:rsid w:val="00AD16B6"/>
    <w:rsid w:val="00AD70D1"/>
    <w:rsid w:val="00AE6301"/>
    <w:rsid w:val="00AE645F"/>
    <w:rsid w:val="00AF4D67"/>
    <w:rsid w:val="00AF5EAA"/>
    <w:rsid w:val="00B212B6"/>
    <w:rsid w:val="00B348BA"/>
    <w:rsid w:val="00B36EBC"/>
    <w:rsid w:val="00B67A9B"/>
    <w:rsid w:val="00B717F5"/>
    <w:rsid w:val="00B7477E"/>
    <w:rsid w:val="00B97310"/>
    <w:rsid w:val="00BA498F"/>
    <w:rsid w:val="00BD2AE5"/>
    <w:rsid w:val="00BD4A67"/>
    <w:rsid w:val="00BD518D"/>
    <w:rsid w:val="00C049BD"/>
    <w:rsid w:val="00C13D4E"/>
    <w:rsid w:val="00C2600B"/>
    <w:rsid w:val="00C35CC0"/>
    <w:rsid w:val="00C408D4"/>
    <w:rsid w:val="00C43058"/>
    <w:rsid w:val="00C4324A"/>
    <w:rsid w:val="00C55BA5"/>
    <w:rsid w:val="00C56D25"/>
    <w:rsid w:val="00C60146"/>
    <w:rsid w:val="00C776F1"/>
    <w:rsid w:val="00CB00AC"/>
    <w:rsid w:val="00CC4ABD"/>
    <w:rsid w:val="00CE1A11"/>
    <w:rsid w:val="00CE4095"/>
    <w:rsid w:val="00CF7F76"/>
    <w:rsid w:val="00D10791"/>
    <w:rsid w:val="00D12499"/>
    <w:rsid w:val="00D13A96"/>
    <w:rsid w:val="00D1469F"/>
    <w:rsid w:val="00D2245E"/>
    <w:rsid w:val="00D227D6"/>
    <w:rsid w:val="00D37ACF"/>
    <w:rsid w:val="00D8722E"/>
    <w:rsid w:val="00D87A1F"/>
    <w:rsid w:val="00DD043C"/>
    <w:rsid w:val="00DE39EB"/>
    <w:rsid w:val="00E04210"/>
    <w:rsid w:val="00E05F76"/>
    <w:rsid w:val="00E250F5"/>
    <w:rsid w:val="00E33D19"/>
    <w:rsid w:val="00E35828"/>
    <w:rsid w:val="00E42BFB"/>
    <w:rsid w:val="00E5002E"/>
    <w:rsid w:val="00E6349F"/>
    <w:rsid w:val="00E650F1"/>
    <w:rsid w:val="00E66743"/>
    <w:rsid w:val="00E72D70"/>
    <w:rsid w:val="00E93607"/>
    <w:rsid w:val="00E95F77"/>
    <w:rsid w:val="00E97B80"/>
    <w:rsid w:val="00EB283B"/>
    <w:rsid w:val="00EC30B6"/>
    <w:rsid w:val="00EE4DF2"/>
    <w:rsid w:val="00EE7002"/>
    <w:rsid w:val="00F01A03"/>
    <w:rsid w:val="00F046AE"/>
    <w:rsid w:val="00F07C76"/>
    <w:rsid w:val="00F27766"/>
    <w:rsid w:val="00F34172"/>
    <w:rsid w:val="00F53F42"/>
    <w:rsid w:val="00F86072"/>
    <w:rsid w:val="00F9315B"/>
    <w:rsid w:val="00FA0DD4"/>
    <w:rsid w:val="00FB2B7D"/>
    <w:rsid w:val="00FB4571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C71F"/>
  <w15:chartTrackingRefBased/>
  <w15:docId w15:val="{2CE85472-5DF3-4260-A511-7B5C4574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E4F"/>
    <w:pPr>
      <w:ind w:left="720"/>
      <w:contextualSpacing/>
    </w:pPr>
  </w:style>
  <w:style w:type="paragraph" w:customStyle="1" w:styleId="Default">
    <w:name w:val="Default"/>
    <w:rsid w:val="008B5802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50F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710D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3F202E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326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alsitenews.com/how-a-grass-roots-health-movement-led-to-acceptance-of-ivermectin-as-a-covid-19-therapy-in-peru/" TargetMode="External"/><Relationship Id="rId13" Type="http://schemas.openxmlformats.org/officeDocument/2006/relationships/hyperlink" Target="http://www.bcpsjournal.org/mhcms-admin/media/pdf/article762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inicaltrials.gov/ct2/results?cond=Covid19&amp;term=ivermectin&amp;type=&amp;rslt=&amp;age_v=&amp;gndr=&amp;intr=&amp;titles=&amp;outc=&amp;spons=&amp;lead=&amp;id=&amp;cntry=&amp;state=&amp;city=&amp;dist=&amp;locn=&amp;rsub=&amp;strd_s=&amp;strd_e=&amp;prcd_s=&amp;prcd_e=&amp;sfpd_s=&amp;sfpd_e=&amp;rfpd_s=&amp;rfpd_e=&amp;lupd_s=&amp;lupd_e=&amp;sort=" TargetMode="External"/><Relationship Id="rId12" Type="http://schemas.openxmlformats.org/officeDocument/2006/relationships/hyperlink" Target="http://www.bcpsjournal.org/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s://www.medrxiv.org/content/10.1101/2020.07.07.20145979v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ubmed.ncbi.nlm.nih.gov/18446504/" TargetMode="External"/><Relationship Id="rId11" Type="http://schemas.openxmlformats.org/officeDocument/2006/relationships/hyperlink" Target="https://www.researchsquare.com/article/rs-38896/v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drxiv.org/content/10.1101/2020.06.06.20124461v2" TargetMode="External"/><Relationship Id="rId10" Type="http://schemas.openxmlformats.org/officeDocument/2006/relationships/hyperlink" Target="https://link.springer.com/content/pdf/10.1007/s00210-020-01902-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dpi.com/2218-0532/88/3/36/htm?fbclid=IwAR2ESxXuxaeAkbSEiNpdYe1N0Cy6nIv06QO6IWgdRtvQE7-BA4w-gHPMlRs" TargetMode="External"/><Relationship Id="rId14" Type="http://schemas.openxmlformats.org/officeDocument/2006/relationships/hyperlink" Target="http://www.bcpsjournal.org/mhcms-admin/media/pdf/article76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11E5-8345-4229-A3C6-7BA1F25A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Никола Георгиевски</cp:lastModifiedBy>
  <cp:revision>2</cp:revision>
  <dcterms:created xsi:type="dcterms:W3CDTF">2021-01-12T17:07:00Z</dcterms:created>
  <dcterms:modified xsi:type="dcterms:W3CDTF">2021-01-12T17:07:00Z</dcterms:modified>
</cp:coreProperties>
</file>